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5000" w:type="pct"/>
        <w:tblLayout w:type="fixed"/>
        <w:tblLook w:val="0000" w:firstRow="0" w:lastRow="0" w:firstColumn="0" w:lastColumn="0" w:noHBand="0" w:noVBand="0"/>
      </w:tblPr>
      <w:tblGrid>
        <w:gridCol w:w="5376"/>
        <w:gridCol w:w="4200"/>
      </w:tblGrid>
      <w:tr w:rsidR="0097780E" w:rsidTr="0097780E">
        <w:trPr>
          <w:trHeight w:val="288"/>
        </w:trPr>
        <w:tc>
          <w:tcPr>
            <w:tcW w:w="1280" w:type="pct"/>
            <w:shd w:val="clear" w:color="auto" w:fill="auto"/>
          </w:tcPr>
          <w:p w:rsidR="0097780E" w:rsidRPr="0097780E" w:rsidRDefault="002C7E24" w:rsidP="002C7E24">
            <w:pPr>
              <w:pStyle w:val="11TableHeader"/>
              <w:rPr>
                <w:color w:val="000000"/>
                <w:sz w:val="24"/>
              </w:rPr>
            </w:pPr>
            <w:r>
              <w:rPr>
                <w:color w:val="000000"/>
                <w:sz w:val="24"/>
              </w:rPr>
              <w:t>Dr. Blachy Javier Dávila Saldaña MD</w:t>
            </w:r>
          </w:p>
        </w:tc>
        <w:tc>
          <w:tcPr>
            <w:tcW w:w="1000" w:type="pct"/>
            <w:shd w:val="clear" w:color="auto" w:fill="auto"/>
          </w:tcPr>
          <w:p w:rsidR="0097780E" w:rsidRPr="0097780E" w:rsidRDefault="0097780E" w:rsidP="0097780E">
            <w:pPr>
              <w:pStyle w:val="11TableHeader"/>
              <w:rPr>
                <w:color w:val="000000"/>
                <w:sz w:val="18"/>
                <w:u w:val="double"/>
              </w:rPr>
            </w:pPr>
          </w:p>
        </w:tc>
      </w:tr>
      <w:tr w:rsidR="0097780E" w:rsidTr="0097780E">
        <w:trPr>
          <w:trHeight w:val="288"/>
        </w:trPr>
        <w:tc>
          <w:tcPr>
            <w:tcW w:w="1280" w:type="pct"/>
            <w:shd w:val="clear" w:color="auto" w:fill="auto"/>
          </w:tcPr>
          <w:p w:rsidR="0097780E" w:rsidRDefault="0097780E" w:rsidP="0097780E">
            <w:pPr>
              <w:spacing w:after="0" w:line="240" w:lineRule="auto"/>
              <w:rPr>
                <w:rFonts w:ascii="Arial" w:hAnsi="Arial" w:cs="Arial"/>
                <w:sz w:val="18"/>
                <w:szCs w:val="18"/>
              </w:rPr>
            </w:pPr>
          </w:p>
        </w:tc>
        <w:tc>
          <w:tcPr>
            <w:tcW w:w="1000" w:type="pct"/>
            <w:shd w:val="clear" w:color="auto" w:fill="auto"/>
          </w:tcPr>
          <w:p w:rsidR="0097780E" w:rsidRDefault="0097780E" w:rsidP="0097780E">
            <w:pPr>
              <w:spacing w:after="0" w:line="240" w:lineRule="auto"/>
              <w:rPr>
                <w:rFonts w:ascii="Arial" w:hAnsi="Arial" w:cs="Arial"/>
                <w:sz w:val="18"/>
                <w:szCs w:val="18"/>
              </w:rPr>
            </w:pPr>
          </w:p>
        </w:tc>
      </w:tr>
      <w:tr w:rsidR="0097780E" w:rsidTr="0097780E">
        <w:trPr>
          <w:trHeight w:val="288"/>
        </w:trPr>
        <w:tc>
          <w:tcPr>
            <w:tcW w:w="1280" w:type="pct"/>
            <w:shd w:val="clear" w:color="auto" w:fill="auto"/>
          </w:tcPr>
          <w:p w:rsidR="00DA4C4A" w:rsidRDefault="00971FA4">
            <w:r>
              <w:rPr>
                <w:noProof/>
              </w:rPr>
              <w:drawing>
                <wp:inline distT="0" distB="0" distL="0" distR="0">
                  <wp:extent cx="950976" cy="950976"/>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lachy Javier Dávila Saldaña.png"/>
                          <pic:cNvPicPr/>
                        </pic:nvPicPr>
                        <pic:blipFill>
                          <a:blip r:embed="rId11"/>
                          <a:stretch>
                            <a:fillRect/>
                          </a:stretch>
                        </pic:blipFill>
                        <pic:spPr>
                          <a:xfrm>
                            <a:off x="0" y="0"/>
                            <a:ext cx="950976" cy="950976"/>
                          </a:xfrm>
                          <a:prstGeom prst="rect">
                            <a:avLst/>
                          </a:prstGeom>
                        </pic:spPr>
                      </pic:pic>
                    </a:graphicData>
                  </a:graphic>
                </wp:inline>
              </w:drawing>
            </w:r>
          </w:p>
        </w:tc>
        <w:tc>
          <w:tcPr>
            <w:tcW w:w="1000" w:type="pct"/>
            <w:shd w:val="clear" w:color="auto" w:fill="auto"/>
          </w:tcPr>
          <w:p w:rsidR="0097780E" w:rsidRPr="0097780E" w:rsidRDefault="0097780E" w:rsidP="0097780E">
            <w:pPr>
              <w:pStyle w:val="11TableHeader"/>
              <w:rPr>
                <w:b w:val="0"/>
                <w:color w:val="000000"/>
                <w:sz w:val="18"/>
              </w:rPr>
            </w:pPr>
            <w:r w:rsidRPr="0097780E">
              <w:rPr>
                <w:color w:val="000000"/>
                <w:sz w:val="18"/>
                <w:u w:val="double"/>
              </w:rPr>
              <w:t>Personal Information</w:t>
            </w:r>
          </w:p>
          <w:p w:rsidR="002C7E24" w:rsidRDefault="002C7E24" w:rsidP="0097780E">
            <w:pPr>
              <w:pStyle w:val="11TableHeader"/>
              <w:rPr>
                <w:b w:val="0"/>
                <w:color w:val="000000"/>
                <w:sz w:val="18"/>
              </w:rPr>
            </w:pPr>
            <w:r>
              <w:rPr>
                <w:b w:val="0"/>
                <w:color w:val="000000"/>
                <w:sz w:val="18"/>
              </w:rPr>
              <w:t>Cincinnati Children's Hospital Medical Center</w:t>
            </w:r>
          </w:p>
          <w:p w:rsidR="002C7E24" w:rsidRDefault="002C7E24" w:rsidP="0097780E">
            <w:pPr>
              <w:pStyle w:val="11TableHeader"/>
              <w:rPr>
                <w:b w:val="0"/>
                <w:color w:val="000000"/>
                <w:sz w:val="18"/>
              </w:rPr>
            </w:pPr>
            <w:r>
              <w:rPr>
                <w:b w:val="0"/>
                <w:color w:val="000000"/>
                <w:sz w:val="18"/>
              </w:rPr>
              <w:t>3333 Burnet Avenue</w:t>
            </w:r>
          </w:p>
          <w:p w:rsidR="002C7E24" w:rsidRDefault="002C7E24" w:rsidP="0097780E">
            <w:pPr>
              <w:pStyle w:val="11TableHeader"/>
              <w:rPr>
                <w:b w:val="0"/>
                <w:color w:val="000000"/>
                <w:sz w:val="18"/>
              </w:rPr>
            </w:pPr>
            <w:r>
              <w:rPr>
                <w:b w:val="0"/>
                <w:color w:val="000000"/>
                <w:sz w:val="18"/>
              </w:rPr>
              <w:t>Cincinnati, Ohio, United States of America, 45229</w:t>
            </w:r>
          </w:p>
          <w:p w:rsidR="002C7E24" w:rsidRDefault="0097780E" w:rsidP="002C7E24">
            <w:pPr>
              <w:pStyle w:val="11TableHeader"/>
              <w:rPr>
                <w:b w:val="0"/>
                <w:color w:val="000000"/>
                <w:sz w:val="18"/>
              </w:rPr>
            </w:pPr>
            <w:r w:rsidRPr="0097780E">
              <w:rPr>
                <w:b w:val="0"/>
                <w:color w:val="000000"/>
                <w:sz w:val="18"/>
              </w:rPr>
              <w:t xml:space="preserve">Email: </w:t>
            </w:r>
            <w:r>
              <w:rPr>
                <w:b w:val="0"/>
                <w:color w:val="000000"/>
                <w:sz w:val="18"/>
              </w:rPr>
              <w:t>blachy.davilasaldana@cchmc.org</w:t>
            </w:r>
          </w:p>
          <w:p w:rsidR="0097780E" w:rsidRPr="0097780E" w:rsidRDefault="004E4813" w:rsidP="00600B60">
            <w:pPr>
              <w:pStyle w:val="11TableHeader"/>
              <w:rPr>
                <w:b w:val="0"/>
                <w:color w:val="000000"/>
                <w:sz w:val="18"/>
              </w:rPr>
            </w:pPr>
            <w:r>
              <w:rPr>
                <w:b w:val="0"/>
                <w:color w:val="000000"/>
                <w:sz w:val="18"/>
              </w:rPr>
              <w:t>Special</w:t>
            </w:r>
            <w:r w:rsidR="0097780E" w:rsidRPr="0097780E">
              <w:rPr>
                <w:b w:val="0"/>
                <w:color w:val="000000"/>
                <w:sz w:val="18"/>
              </w:rPr>
              <w:t xml:space="preserve">ty: </w:t>
            </w:r>
            <w:r>
              <w:rPr>
                <w:b w:val="0"/>
                <w:color w:val="000000"/>
                <w:sz w:val="18"/>
              </w:rPr>
              <w:t>Pediatric Hematology | Pediatric Oncology | Pediatrics</w:t>
            </w:r>
          </w:p>
        </w:tc>
      </w:tr>
    </w:tbl>
    <w:p w:rsidR="00FE665B" w:rsidRDefault="00FE665B" w:rsidP="00763471">
      <w:pPr>
        <w:spacing w:after="0" w:line="240" w:lineRule="auto"/>
        <w:rPr>
          <w:rFonts w:ascii="Arial" w:hAnsi="Arial" w:cs="Arial"/>
          <w:sz w:val="18"/>
          <w:szCs w:val="18"/>
        </w:rPr>
      </w:pPr>
    </w:p>
    <w:tbl>
      <w:tblPr>
        <w:tblStyle w:val="MediumShading1-Accent1"/>
        <w:tblW w:w="5000" w:type="pct"/>
        <w:tblLayout w:type="fixed"/>
        <w:tblLook w:val="04A0" w:firstRow="1" w:lastRow="0" w:firstColumn="1" w:lastColumn="0" w:noHBand="0" w:noVBand="1"/>
      </w:tblPr>
      <w:tblGrid>
        <w:gridCol w:w="642"/>
        <w:gridCol w:w="1714"/>
        <w:gridCol w:w="5133"/>
        <w:gridCol w:w="1149"/>
        <w:gridCol w:w="938"/>
      </w:tblGrid>
      <w:tr w:rsidR="0097780E" w:rsidTr="0097780E">
        <w:trPr>
          <w:cnfStyle w:val="100000000000" w:firstRow="1" w:lastRow="0" w:firstColumn="0" w:lastColumn="0" w:oddVBand="0" w:evenVBand="0" w:oddHBand="0" w:evenHBand="0" w:firstRowFirstColumn="0" w:firstRowLastColumn="0" w:lastRowFirstColumn="0" w:lastRowLastColumn="0"/>
          <w:cantSplit/>
          <w:trHeight w:val="288"/>
          <w:tblHeader/>
        </w:trPr>
        <w:tc>
          <w:tcPr>
            <w:cnfStyle w:val="001000000000" w:firstRow="0" w:lastRow="0" w:firstColumn="1" w:lastColumn="0" w:oddVBand="0" w:evenVBand="0" w:oddHBand="0" w:evenHBand="0" w:firstRowFirstColumn="0" w:firstRowLastColumn="0" w:lastRowFirstColumn="0" w:lastRowLastColumn="0"/>
            <w:tcW w:w="5000" w:type="pct"/>
            <w:gridSpan w:val="5"/>
          </w:tcPr>
          <w:p w:rsidR="0097780E" w:rsidRDefault="0097780E" w:rsidP="0097780E">
            <w:pPr>
              <w:pStyle w:val="11TableHeader"/>
              <w:rPr>
                <w:rFonts w:ascii="Arial" w:hAnsi="Arial" w:cs="Arial"/>
                <w:sz w:val="18"/>
                <w:szCs w:val="18"/>
              </w:rPr>
            </w:pPr>
            <w:r w:rsidRPr="0097780E">
              <w:t>Professional Affiliations</w:t>
            </w:r>
          </w:p>
        </w:tc>
      </w:tr>
      <w:tr w:rsidR="0097780E" w:rsidTr="0097780E">
        <w:trPr>
          <w:cnfStyle w:val="100000000000" w:firstRow="1" w:lastRow="0" w:firstColumn="0" w:lastColumn="0" w:oddVBand="0" w:evenVBand="0" w:oddHBand="0" w:evenHBand="0" w:firstRowFirstColumn="0" w:firstRowLastColumn="0" w:lastRowFirstColumn="0" w:lastRowLastColumn="0"/>
          <w:cantSplit/>
          <w:trHeight w:val="288"/>
          <w:tblHeader/>
        </w:trPr>
        <w:tc>
          <w:tcPr>
            <w:cnfStyle w:val="001000000000" w:firstRow="0" w:lastRow="0" w:firstColumn="1" w:lastColumn="0" w:oddVBand="0" w:evenVBand="0" w:oddHBand="0" w:evenHBand="0" w:firstRowFirstColumn="0" w:firstRowLastColumn="0" w:lastRowFirstColumn="0" w:lastRowLastColumn="0"/>
            <w:tcW w:w="335" w:type="pct"/>
            <w:shd w:val="clear" w:color="auto" w:fill="91ADD7"/>
          </w:tcPr>
          <w:p w:rsidR="0097780E" w:rsidRPr="0097780E" w:rsidRDefault="0097780E" w:rsidP="0097780E">
            <w:pPr>
              <w:pStyle w:val="11TableHeader"/>
              <w:jc w:val="center"/>
              <w:rPr>
                <w:color w:val="000000"/>
                <w:sz w:val="18"/>
              </w:rPr>
            </w:pPr>
            <w:proofErr w:type="spellStart"/>
            <w:r w:rsidRPr="0097780E">
              <w:rPr>
                <w:color w:val="000000"/>
                <w:sz w:val="18"/>
              </w:rPr>
              <w:t>S.No</w:t>
            </w:r>
            <w:proofErr w:type="spellEnd"/>
          </w:p>
        </w:tc>
        <w:tc>
          <w:tcPr>
            <w:tcW w:w="895" w:type="pct"/>
            <w:shd w:val="clear" w:color="auto" w:fill="91ADD7"/>
          </w:tcPr>
          <w:p w:rsidR="0097780E" w:rsidRPr="0097780E" w:rsidRDefault="0097780E" w:rsidP="0097780E">
            <w:pPr>
              <w:pStyle w:val="11TableHeader"/>
              <w:jc w:val="center"/>
              <w:cnfStyle w:val="100000000000" w:firstRow="1" w:lastRow="0" w:firstColumn="0" w:lastColumn="0" w:oddVBand="0" w:evenVBand="0" w:oddHBand="0" w:evenHBand="0" w:firstRowFirstColumn="0" w:firstRowLastColumn="0" w:lastRowFirstColumn="0" w:lastRowLastColumn="0"/>
              <w:rPr>
                <w:color w:val="000000"/>
                <w:sz w:val="18"/>
              </w:rPr>
            </w:pPr>
            <w:r w:rsidRPr="0097780E">
              <w:rPr>
                <w:color w:val="000000"/>
                <w:sz w:val="18"/>
              </w:rPr>
              <w:t>Role</w:t>
            </w:r>
          </w:p>
        </w:tc>
        <w:tc>
          <w:tcPr>
            <w:tcW w:w="2680" w:type="pct"/>
            <w:shd w:val="clear" w:color="auto" w:fill="91ADD7"/>
          </w:tcPr>
          <w:p w:rsidR="0097780E" w:rsidRPr="0097780E" w:rsidRDefault="0097780E" w:rsidP="00751888">
            <w:pPr>
              <w:pStyle w:val="11TableHeader"/>
              <w:jc w:val="center"/>
              <w:cnfStyle w:val="100000000000" w:firstRow="1" w:lastRow="0" w:firstColumn="0" w:lastColumn="0" w:oddVBand="0" w:evenVBand="0" w:oddHBand="0" w:evenHBand="0" w:firstRowFirstColumn="0" w:firstRowLastColumn="0" w:lastRowFirstColumn="0" w:lastRowLastColumn="0"/>
              <w:rPr>
                <w:color w:val="000000"/>
                <w:sz w:val="18"/>
              </w:rPr>
            </w:pPr>
            <w:r w:rsidRPr="0097780E">
              <w:rPr>
                <w:color w:val="000000"/>
                <w:sz w:val="18"/>
              </w:rPr>
              <w:t xml:space="preserve">Department &amp; </w:t>
            </w:r>
            <w:r w:rsidR="00751888">
              <w:rPr>
                <w:color w:val="000000"/>
                <w:sz w:val="18"/>
              </w:rPr>
              <w:t>Institution</w:t>
            </w:r>
          </w:p>
        </w:tc>
        <w:tc>
          <w:tcPr>
            <w:tcW w:w="600" w:type="pct"/>
            <w:shd w:val="clear" w:color="auto" w:fill="91ADD7"/>
          </w:tcPr>
          <w:p w:rsidR="0097780E" w:rsidRPr="0097780E" w:rsidRDefault="0097780E" w:rsidP="00E9729C">
            <w:pPr>
              <w:pStyle w:val="11TableHeader"/>
              <w:jc w:val="center"/>
              <w:cnfStyle w:val="100000000000" w:firstRow="1" w:lastRow="0" w:firstColumn="0" w:lastColumn="0" w:oddVBand="0" w:evenVBand="0" w:oddHBand="0" w:evenHBand="0" w:firstRowFirstColumn="0" w:firstRowLastColumn="0" w:lastRowFirstColumn="0" w:lastRowLastColumn="0"/>
              <w:rPr>
                <w:color w:val="000000"/>
                <w:sz w:val="18"/>
              </w:rPr>
            </w:pPr>
            <w:r w:rsidRPr="0097780E">
              <w:rPr>
                <w:color w:val="000000"/>
                <w:sz w:val="18"/>
              </w:rPr>
              <w:t xml:space="preserve">Start </w:t>
            </w:r>
            <w:r w:rsidR="00E9729C">
              <w:rPr>
                <w:color w:val="000000"/>
                <w:sz w:val="18"/>
              </w:rPr>
              <w:t>Date</w:t>
            </w:r>
          </w:p>
        </w:tc>
        <w:tc>
          <w:tcPr>
            <w:tcW w:w="490" w:type="pct"/>
            <w:shd w:val="clear" w:color="auto" w:fill="91ADD7"/>
          </w:tcPr>
          <w:p w:rsidR="0097780E" w:rsidRPr="0097780E" w:rsidRDefault="0097780E" w:rsidP="00E9729C">
            <w:pPr>
              <w:pStyle w:val="11TableHeader"/>
              <w:jc w:val="center"/>
              <w:cnfStyle w:val="100000000000" w:firstRow="1" w:lastRow="0" w:firstColumn="0" w:lastColumn="0" w:oddVBand="0" w:evenVBand="0" w:oddHBand="0" w:evenHBand="0" w:firstRowFirstColumn="0" w:firstRowLastColumn="0" w:lastRowFirstColumn="0" w:lastRowLastColumn="0"/>
              <w:rPr>
                <w:color w:val="000000"/>
                <w:sz w:val="18"/>
              </w:rPr>
            </w:pPr>
            <w:r w:rsidRPr="0097780E">
              <w:rPr>
                <w:color w:val="000000"/>
                <w:sz w:val="18"/>
              </w:rPr>
              <w:t xml:space="preserve">End </w:t>
            </w:r>
            <w:r w:rsidR="00E9729C">
              <w:rPr>
                <w:color w:val="000000"/>
                <w:sz w:val="18"/>
              </w:rPr>
              <w:t>Date</w:t>
            </w:r>
          </w:p>
        </w:tc>
      </w:tr>
      <w:tr w:rsidR="00DA4C4A" w:rsidTr="00DA4C4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DA4C4A" w:rsidRDefault="00971FA4">
            <w:r>
              <w:t>1</w:t>
            </w:r>
          </w:p>
        </w:tc>
        <w:tc>
          <w:tcPr>
            <w:tcW w:w="1714" w:type="dxa"/>
          </w:tcPr>
          <w:p w:rsidR="00DA4C4A" w:rsidRDefault="00971FA4">
            <w:pPr>
              <w:cnfStyle w:val="000000100000" w:firstRow="0" w:lastRow="0" w:firstColumn="0" w:lastColumn="0" w:oddVBand="0" w:evenVBand="0" w:oddHBand="1" w:evenHBand="0" w:firstRowFirstColumn="0" w:firstRowLastColumn="0" w:lastRowFirstColumn="0" w:lastRowLastColumn="0"/>
            </w:pPr>
            <w:r>
              <w:t>Associate Professor</w:t>
            </w:r>
          </w:p>
        </w:tc>
        <w:tc>
          <w:tcPr>
            <w:tcW w:w="5133" w:type="dxa"/>
          </w:tcPr>
          <w:p w:rsidR="00DA4C4A" w:rsidRDefault="00971FA4">
            <w:pPr>
              <w:cnfStyle w:val="000000100000" w:firstRow="0" w:lastRow="0" w:firstColumn="0" w:lastColumn="0" w:oddVBand="0" w:evenVBand="0" w:oddHBand="1" w:evenHBand="0" w:firstRowFirstColumn="0" w:firstRowLastColumn="0" w:lastRowFirstColumn="0" w:lastRowLastColumn="0"/>
            </w:pPr>
            <w:r>
              <w:t xml:space="preserve">Pediatrics, Cincinnati Children's </w:t>
            </w:r>
            <w:r>
              <w:t>Hospital Medical Center</w:t>
            </w:r>
          </w:p>
        </w:tc>
        <w:tc>
          <w:tcPr>
            <w:tcW w:w="1149" w:type="dxa"/>
          </w:tcPr>
          <w:p w:rsidR="00DA4C4A" w:rsidRDefault="00971FA4">
            <w:pPr>
              <w:jc w:val="center"/>
              <w:cnfStyle w:val="000000100000" w:firstRow="0" w:lastRow="0" w:firstColumn="0" w:lastColumn="0" w:oddVBand="0" w:evenVBand="0" w:oddHBand="1" w:evenHBand="0" w:firstRowFirstColumn="0" w:firstRowLastColumn="0" w:lastRowFirstColumn="0" w:lastRowLastColumn="0"/>
            </w:pPr>
            <w:r>
              <w:t>25-Aug-2024</w:t>
            </w:r>
          </w:p>
        </w:tc>
        <w:tc>
          <w:tcPr>
            <w:tcW w:w="938" w:type="dxa"/>
          </w:tcPr>
          <w:p w:rsidR="00DA4C4A" w:rsidRDefault="00971FA4">
            <w:pPr>
              <w:jc w:val="center"/>
              <w:cnfStyle w:val="000000100000" w:firstRow="0" w:lastRow="0" w:firstColumn="0" w:lastColumn="0" w:oddVBand="0" w:evenVBand="0" w:oddHBand="1" w:evenHBand="0" w:firstRowFirstColumn="0" w:firstRowLastColumn="0" w:lastRowFirstColumn="0" w:lastRowLastColumn="0"/>
            </w:pPr>
            <w:r>
              <w:t>-</w:t>
            </w:r>
          </w:p>
        </w:tc>
      </w:tr>
      <w:tr w:rsidR="00DA4C4A" w:rsidTr="00DA4C4A">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DA4C4A" w:rsidRDefault="00971FA4">
            <w:r>
              <w:t>2</w:t>
            </w:r>
          </w:p>
        </w:tc>
        <w:tc>
          <w:tcPr>
            <w:tcW w:w="1714" w:type="dxa"/>
          </w:tcPr>
          <w:p w:rsidR="00DA4C4A" w:rsidRDefault="00971FA4">
            <w:pPr>
              <w:cnfStyle w:val="000000010000" w:firstRow="0" w:lastRow="0" w:firstColumn="0" w:lastColumn="0" w:oddVBand="0" w:evenVBand="0" w:oddHBand="0" w:evenHBand="1" w:firstRowFirstColumn="0" w:firstRowLastColumn="0" w:lastRowFirstColumn="0" w:lastRowLastColumn="0"/>
            </w:pPr>
            <w:r>
              <w:t>Physician</w:t>
            </w:r>
          </w:p>
        </w:tc>
        <w:tc>
          <w:tcPr>
            <w:tcW w:w="5133" w:type="dxa"/>
          </w:tcPr>
          <w:p w:rsidR="00DA4C4A" w:rsidRDefault="00971FA4">
            <w:pPr>
              <w:cnfStyle w:val="000000010000" w:firstRow="0" w:lastRow="0" w:firstColumn="0" w:lastColumn="0" w:oddVBand="0" w:evenVBand="0" w:oddHBand="0" w:evenHBand="1" w:firstRowFirstColumn="0" w:firstRowLastColumn="0" w:lastRowFirstColumn="0" w:lastRowLastColumn="0"/>
            </w:pPr>
            <w:r>
              <w:t>Bone Marrow Transplant and Immune Deficiency, Cincinnati Children's Hospital Medical Center</w:t>
            </w:r>
          </w:p>
        </w:tc>
        <w:tc>
          <w:tcPr>
            <w:tcW w:w="1149" w:type="dxa"/>
          </w:tcPr>
          <w:p w:rsidR="00DA4C4A" w:rsidRDefault="00971FA4">
            <w:pPr>
              <w:jc w:val="center"/>
              <w:cnfStyle w:val="000000010000" w:firstRow="0" w:lastRow="0" w:firstColumn="0" w:lastColumn="0" w:oddVBand="0" w:evenVBand="0" w:oddHBand="0" w:evenHBand="1" w:firstRowFirstColumn="0" w:firstRowLastColumn="0" w:lastRowFirstColumn="0" w:lastRowLastColumn="0"/>
            </w:pPr>
            <w:r>
              <w:t>25-Aug-2024</w:t>
            </w:r>
          </w:p>
        </w:tc>
        <w:tc>
          <w:tcPr>
            <w:tcW w:w="938" w:type="dxa"/>
          </w:tcPr>
          <w:p w:rsidR="00DA4C4A" w:rsidRDefault="00971FA4">
            <w:pPr>
              <w:jc w:val="center"/>
              <w:cnfStyle w:val="000000010000" w:firstRow="0" w:lastRow="0" w:firstColumn="0" w:lastColumn="0" w:oddVBand="0" w:evenVBand="0" w:oddHBand="0" w:evenHBand="1" w:firstRowFirstColumn="0" w:firstRowLastColumn="0" w:lastRowFirstColumn="0" w:lastRowLastColumn="0"/>
            </w:pPr>
            <w:r>
              <w:t>-</w:t>
            </w:r>
          </w:p>
        </w:tc>
      </w:tr>
      <w:tr w:rsidR="00DA4C4A" w:rsidTr="00DA4C4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DA4C4A" w:rsidRDefault="00971FA4">
            <w:r>
              <w:t>3</w:t>
            </w:r>
          </w:p>
        </w:tc>
        <w:tc>
          <w:tcPr>
            <w:tcW w:w="1714" w:type="dxa"/>
          </w:tcPr>
          <w:p w:rsidR="00DA4C4A" w:rsidRDefault="00971FA4">
            <w:pPr>
              <w:cnfStyle w:val="000000100000" w:firstRow="0" w:lastRow="0" w:firstColumn="0" w:lastColumn="0" w:oddVBand="0" w:evenVBand="0" w:oddHBand="1" w:evenHBand="0" w:firstRowFirstColumn="0" w:firstRowLastColumn="0" w:lastRowFirstColumn="0" w:lastRowLastColumn="0"/>
            </w:pPr>
            <w:r>
              <w:t>Member</w:t>
            </w:r>
          </w:p>
        </w:tc>
        <w:tc>
          <w:tcPr>
            <w:tcW w:w="5133" w:type="dxa"/>
          </w:tcPr>
          <w:p w:rsidR="00DA4C4A" w:rsidRDefault="00971FA4">
            <w:pPr>
              <w:cnfStyle w:val="000000100000" w:firstRow="0" w:lastRow="0" w:firstColumn="0" w:lastColumn="0" w:oddVBand="0" w:evenVBand="0" w:oddHBand="1" w:evenHBand="0" w:firstRowFirstColumn="0" w:firstRowLastColumn="0" w:lastRowFirstColumn="0" w:lastRowLastColumn="0"/>
            </w:pPr>
            <w:r>
              <w:t>Clinical Immunology Program, Children’s National Hospital</w:t>
            </w:r>
          </w:p>
        </w:tc>
        <w:tc>
          <w:tcPr>
            <w:tcW w:w="1149" w:type="dxa"/>
          </w:tcPr>
          <w:p w:rsidR="00DA4C4A" w:rsidRDefault="00971FA4">
            <w:pPr>
              <w:jc w:val="center"/>
              <w:cnfStyle w:val="000000100000" w:firstRow="0" w:lastRow="0" w:firstColumn="0" w:lastColumn="0" w:oddVBand="0" w:evenVBand="0" w:oddHBand="1" w:evenHBand="0" w:firstRowFirstColumn="0" w:firstRowLastColumn="0" w:lastRowFirstColumn="0" w:lastRowLastColumn="0"/>
            </w:pPr>
            <w:r>
              <w:t>-</w:t>
            </w:r>
          </w:p>
        </w:tc>
        <w:tc>
          <w:tcPr>
            <w:tcW w:w="938" w:type="dxa"/>
          </w:tcPr>
          <w:p w:rsidR="00DA4C4A" w:rsidRDefault="00971FA4">
            <w:pPr>
              <w:jc w:val="center"/>
              <w:cnfStyle w:val="000000100000" w:firstRow="0" w:lastRow="0" w:firstColumn="0" w:lastColumn="0" w:oddVBand="0" w:evenVBand="0" w:oddHBand="1" w:evenHBand="0" w:firstRowFirstColumn="0" w:firstRowLastColumn="0" w:lastRowFirstColumn="0" w:lastRowLastColumn="0"/>
            </w:pPr>
            <w:r>
              <w:t>-</w:t>
            </w:r>
          </w:p>
        </w:tc>
      </w:tr>
      <w:tr w:rsidR="00DA4C4A" w:rsidTr="00DA4C4A">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DA4C4A" w:rsidRDefault="00971FA4">
            <w:r>
              <w:t>4</w:t>
            </w:r>
          </w:p>
        </w:tc>
        <w:tc>
          <w:tcPr>
            <w:tcW w:w="1714" w:type="dxa"/>
          </w:tcPr>
          <w:p w:rsidR="00DA4C4A" w:rsidRDefault="00971FA4">
            <w:pPr>
              <w:cnfStyle w:val="000000010000" w:firstRow="0" w:lastRow="0" w:firstColumn="0" w:lastColumn="0" w:oddVBand="0" w:evenVBand="0" w:oddHBand="0" w:evenHBand="1" w:firstRowFirstColumn="0" w:firstRowLastColumn="0" w:lastRowFirstColumn="0" w:lastRowLastColumn="0"/>
            </w:pPr>
            <w:r>
              <w:t>Assistant Professor</w:t>
            </w:r>
          </w:p>
        </w:tc>
        <w:tc>
          <w:tcPr>
            <w:tcW w:w="5133" w:type="dxa"/>
          </w:tcPr>
          <w:p w:rsidR="00DA4C4A" w:rsidRDefault="00971FA4">
            <w:pPr>
              <w:cnfStyle w:val="000000010000" w:firstRow="0" w:lastRow="0" w:firstColumn="0" w:lastColumn="0" w:oddVBand="0" w:evenVBand="0" w:oddHBand="0" w:evenHBand="1" w:firstRowFirstColumn="0" w:firstRowLastColumn="0" w:lastRowFirstColumn="0" w:lastRowLastColumn="0"/>
            </w:pPr>
            <w:r>
              <w:t>Pediatrics, Children's National Hospital</w:t>
            </w:r>
          </w:p>
        </w:tc>
        <w:tc>
          <w:tcPr>
            <w:tcW w:w="1149" w:type="dxa"/>
          </w:tcPr>
          <w:p w:rsidR="00DA4C4A" w:rsidRDefault="00971FA4">
            <w:pPr>
              <w:jc w:val="center"/>
              <w:cnfStyle w:val="000000010000" w:firstRow="0" w:lastRow="0" w:firstColumn="0" w:lastColumn="0" w:oddVBand="0" w:evenVBand="0" w:oddHBand="0" w:evenHBand="1" w:firstRowFirstColumn="0" w:firstRowLastColumn="0" w:lastRowFirstColumn="0" w:lastRowLastColumn="0"/>
            </w:pPr>
            <w:r>
              <w:t>-</w:t>
            </w:r>
          </w:p>
        </w:tc>
        <w:tc>
          <w:tcPr>
            <w:tcW w:w="938" w:type="dxa"/>
          </w:tcPr>
          <w:p w:rsidR="00DA4C4A" w:rsidRDefault="00971FA4">
            <w:pPr>
              <w:jc w:val="center"/>
              <w:cnfStyle w:val="000000010000" w:firstRow="0" w:lastRow="0" w:firstColumn="0" w:lastColumn="0" w:oddVBand="0" w:evenVBand="0" w:oddHBand="0" w:evenHBand="1" w:firstRowFirstColumn="0" w:firstRowLastColumn="0" w:lastRowFirstColumn="0" w:lastRowLastColumn="0"/>
            </w:pPr>
            <w:r>
              <w:t>-</w:t>
            </w:r>
          </w:p>
        </w:tc>
      </w:tr>
      <w:tr w:rsidR="00DA4C4A" w:rsidTr="00DA4C4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DA4C4A" w:rsidRDefault="00971FA4">
            <w:r>
              <w:t>5</w:t>
            </w:r>
          </w:p>
        </w:tc>
        <w:tc>
          <w:tcPr>
            <w:tcW w:w="1714" w:type="dxa"/>
          </w:tcPr>
          <w:p w:rsidR="00DA4C4A" w:rsidRDefault="00971FA4">
            <w:pPr>
              <w:cnfStyle w:val="000000100000" w:firstRow="0" w:lastRow="0" w:firstColumn="0" w:lastColumn="0" w:oddVBand="0" w:evenVBand="0" w:oddHBand="1" w:evenHBand="0" w:firstRowFirstColumn="0" w:firstRowLastColumn="0" w:lastRowFirstColumn="0" w:lastRowLastColumn="0"/>
            </w:pPr>
            <w:r>
              <w:t>Associate Professor</w:t>
            </w:r>
          </w:p>
        </w:tc>
        <w:tc>
          <w:tcPr>
            <w:tcW w:w="5133" w:type="dxa"/>
          </w:tcPr>
          <w:p w:rsidR="00DA4C4A" w:rsidRDefault="00971FA4">
            <w:pPr>
              <w:cnfStyle w:val="000000100000" w:firstRow="0" w:lastRow="0" w:firstColumn="0" w:lastColumn="0" w:oddVBand="0" w:evenVBand="0" w:oddHBand="1" w:evenHBand="0" w:firstRowFirstColumn="0" w:firstRowLastColumn="0" w:lastRowFirstColumn="0" w:lastRowLastColumn="0"/>
            </w:pPr>
            <w:r>
              <w:t>Children’s National Hospital</w:t>
            </w:r>
          </w:p>
        </w:tc>
        <w:tc>
          <w:tcPr>
            <w:tcW w:w="1149" w:type="dxa"/>
          </w:tcPr>
          <w:p w:rsidR="00DA4C4A" w:rsidRDefault="00971FA4">
            <w:pPr>
              <w:jc w:val="center"/>
              <w:cnfStyle w:val="000000100000" w:firstRow="0" w:lastRow="0" w:firstColumn="0" w:lastColumn="0" w:oddVBand="0" w:evenVBand="0" w:oddHBand="1" w:evenHBand="0" w:firstRowFirstColumn="0" w:firstRowLastColumn="0" w:lastRowFirstColumn="0" w:lastRowLastColumn="0"/>
            </w:pPr>
            <w:r>
              <w:t>-</w:t>
            </w:r>
          </w:p>
        </w:tc>
        <w:tc>
          <w:tcPr>
            <w:tcW w:w="938" w:type="dxa"/>
          </w:tcPr>
          <w:p w:rsidR="00DA4C4A" w:rsidRDefault="00971FA4">
            <w:pPr>
              <w:jc w:val="center"/>
              <w:cnfStyle w:val="000000100000" w:firstRow="0" w:lastRow="0" w:firstColumn="0" w:lastColumn="0" w:oddVBand="0" w:evenVBand="0" w:oddHBand="1" w:evenHBand="0" w:firstRowFirstColumn="0" w:firstRowLastColumn="0" w:lastRowFirstColumn="0" w:lastRowLastColumn="0"/>
            </w:pPr>
            <w:r>
              <w:t>-</w:t>
            </w:r>
          </w:p>
        </w:tc>
      </w:tr>
      <w:tr w:rsidR="00DA4C4A" w:rsidTr="00DA4C4A">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DA4C4A" w:rsidRDefault="00971FA4">
            <w:r>
              <w:t>6</w:t>
            </w:r>
          </w:p>
        </w:tc>
        <w:tc>
          <w:tcPr>
            <w:tcW w:w="1714" w:type="dxa"/>
          </w:tcPr>
          <w:p w:rsidR="00DA4C4A" w:rsidRDefault="00971FA4">
            <w:pPr>
              <w:cnfStyle w:val="000000010000" w:firstRow="0" w:lastRow="0" w:firstColumn="0" w:lastColumn="0" w:oddVBand="0" w:evenVBand="0" w:oddHBand="0" w:evenHBand="1" w:firstRowFirstColumn="0" w:firstRowLastColumn="0" w:lastRowFirstColumn="0" w:lastRowLastColumn="0"/>
            </w:pPr>
            <w:r>
              <w:t>Attending Physician</w:t>
            </w:r>
          </w:p>
        </w:tc>
        <w:tc>
          <w:tcPr>
            <w:tcW w:w="5133" w:type="dxa"/>
          </w:tcPr>
          <w:p w:rsidR="00DA4C4A" w:rsidRDefault="00971FA4">
            <w:pPr>
              <w:cnfStyle w:val="000000010000" w:firstRow="0" w:lastRow="0" w:firstColumn="0" w:lastColumn="0" w:oddVBand="0" w:evenVBand="0" w:oddHBand="0" w:evenHBand="1" w:firstRowFirstColumn="0" w:firstRowLastColumn="0" w:lastRowFirstColumn="0" w:lastRowLastColumn="0"/>
            </w:pPr>
            <w:r>
              <w:t>Cancer and Blood Disorders, Children's National Hospital</w:t>
            </w:r>
          </w:p>
        </w:tc>
        <w:tc>
          <w:tcPr>
            <w:tcW w:w="1149" w:type="dxa"/>
          </w:tcPr>
          <w:p w:rsidR="00DA4C4A" w:rsidRDefault="00971FA4">
            <w:pPr>
              <w:jc w:val="center"/>
              <w:cnfStyle w:val="000000010000" w:firstRow="0" w:lastRow="0" w:firstColumn="0" w:lastColumn="0" w:oddVBand="0" w:evenVBand="0" w:oddHBand="0" w:evenHBand="1" w:firstRowFirstColumn="0" w:firstRowLastColumn="0" w:lastRowFirstColumn="0" w:lastRowLastColumn="0"/>
            </w:pPr>
            <w:r>
              <w:t>21-Sep-2015</w:t>
            </w:r>
          </w:p>
        </w:tc>
        <w:tc>
          <w:tcPr>
            <w:tcW w:w="938" w:type="dxa"/>
          </w:tcPr>
          <w:p w:rsidR="00DA4C4A" w:rsidRDefault="00971FA4">
            <w:pPr>
              <w:jc w:val="center"/>
              <w:cnfStyle w:val="000000010000" w:firstRow="0" w:lastRow="0" w:firstColumn="0" w:lastColumn="0" w:oddVBand="0" w:evenVBand="0" w:oddHBand="0" w:evenHBand="1" w:firstRowFirstColumn="0" w:firstRowLastColumn="0" w:lastRowFirstColumn="0" w:lastRowLastColumn="0"/>
            </w:pPr>
            <w:r>
              <w:t>31-Jul-2024</w:t>
            </w:r>
          </w:p>
        </w:tc>
      </w:tr>
      <w:tr w:rsidR="00DA4C4A" w:rsidTr="00DA4C4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DA4C4A" w:rsidRDefault="00971FA4">
            <w:r>
              <w:t>7</w:t>
            </w:r>
          </w:p>
        </w:tc>
        <w:tc>
          <w:tcPr>
            <w:tcW w:w="1714" w:type="dxa"/>
          </w:tcPr>
          <w:p w:rsidR="00DA4C4A" w:rsidRDefault="00971FA4">
            <w:pPr>
              <w:cnfStyle w:val="000000100000" w:firstRow="0" w:lastRow="0" w:firstColumn="0" w:lastColumn="0" w:oddVBand="0" w:evenVBand="0" w:oddHBand="1" w:evenHBand="0" w:firstRowFirstColumn="0" w:firstRowLastColumn="0" w:lastRowFirstColumn="0" w:lastRowLastColumn="0"/>
            </w:pPr>
            <w:r>
              <w:t>Associate Professor</w:t>
            </w:r>
          </w:p>
        </w:tc>
        <w:tc>
          <w:tcPr>
            <w:tcW w:w="5133" w:type="dxa"/>
          </w:tcPr>
          <w:p w:rsidR="00DA4C4A" w:rsidRDefault="00971FA4">
            <w:pPr>
              <w:cnfStyle w:val="000000100000" w:firstRow="0" w:lastRow="0" w:firstColumn="0" w:lastColumn="0" w:oddVBand="0" w:evenVBand="0" w:oddHBand="1" w:evenHBand="0" w:firstRowFirstColumn="0" w:firstRowLastColumn="0" w:lastRowFirstColumn="0" w:lastRowLastColumn="0"/>
            </w:pPr>
            <w:r>
              <w:t xml:space="preserve">Pediatrics, George </w:t>
            </w:r>
            <w:r>
              <w:t>Washington University</w:t>
            </w:r>
          </w:p>
        </w:tc>
        <w:tc>
          <w:tcPr>
            <w:tcW w:w="1149" w:type="dxa"/>
          </w:tcPr>
          <w:p w:rsidR="00DA4C4A" w:rsidRDefault="00971FA4">
            <w:pPr>
              <w:jc w:val="center"/>
              <w:cnfStyle w:val="000000100000" w:firstRow="0" w:lastRow="0" w:firstColumn="0" w:lastColumn="0" w:oddVBand="0" w:evenVBand="0" w:oddHBand="1" w:evenHBand="0" w:firstRowFirstColumn="0" w:firstRowLastColumn="0" w:lastRowFirstColumn="0" w:lastRowLastColumn="0"/>
            </w:pPr>
            <w:r>
              <w:t>21-Sep-2015</w:t>
            </w:r>
          </w:p>
        </w:tc>
        <w:tc>
          <w:tcPr>
            <w:tcW w:w="938" w:type="dxa"/>
          </w:tcPr>
          <w:p w:rsidR="00DA4C4A" w:rsidRDefault="00971FA4">
            <w:pPr>
              <w:jc w:val="center"/>
              <w:cnfStyle w:val="000000100000" w:firstRow="0" w:lastRow="0" w:firstColumn="0" w:lastColumn="0" w:oddVBand="0" w:evenVBand="0" w:oddHBand="1" w:evenHBand="0" w:firstRowFirstColumn="0" w:firstRowLastColumn="0" w:lastRowFirstColumn="0" w:lastRowLastColumn="0"/>
            </w:pPr>
            <w:r>
              <w:t>31-Jul-2024</w:t>
            </w:r>
          </w:p>
        </w:tc>
      </w:tr>
    </w:tbl>
    <w:p w:rsidR="00B66EB3" w:rsidRDefault="00B66EB3" w:rsidP="00763471">
      <w:pPr>
        <w:spacing w:after="0" w:line="240" w:lineRule="auto"/>
        <w:rPr>
          <w:rFonts w:ascii="Arial" w:hAnsi="Arial" w:cs="Arial"/>
          <w:sz w:val="18"/>
          <w:szCs w:val="18"/>
        </w:rPr>
      </w:pPr>
    </w:p>
    <w:tbl>
      <w:tblPr>
        <w:tblStyle w:val="MediumShading1-Accent1"/>
        <w:tblW w:w="5000" w:type="pct"/>
        <w:tblLayout w:type="fixed"/>
        <w:tblLook w:val="04A0" w:firstRow="1" w:lastRow="0" w:firstColumn="1" w:lastColumn="0" w:noHBand="0" w:noVBand="1"/>
      </w:tblPr>
      <w:tblGrid>
        <w:gridCol w:w="642"/>
        <w:gridCol w:w="1714"/>
        <w:gridCol w:w="5133"/>
        <w:gridCol w:w="1149"/>
        <w:gridCol w:w="938"/>
      </w:tblGrid>
      <w:tr w:rsidR="0097780E" w:rsidTr="0097780E">
        <w:trPr>
          <w:cnfStyle w:val="100000000000" w:firstRow="1" w:lastRow="0" w:firstColumn="0" w:lastColumn="0" w:oddVBand="0" w:evenVBand="0" w:oddHBand="0" w:evenHBand="0" w:firstRowFirstColumn="0" w:firstRowLastColumn="0" w:lastRowFirstColumn="0" w:lastRowLastColumn="0"/>
          <w:cantSplit/>
          <w:trHeight w:val="288"/>
          <w:tblHeader/>
        </w:trPr>
        <w:tc>
          <w:tcPr>
            <w:cnfStyle w:val="001000000000" w:firstRow="0" w:lastRow="0" w:firstColumn="1" w:lastColumn="0" w:oddVBand="0" w:evenVBand="0" w:oddHBand="0" w:evenHBand="0" w:firstRowFirstColumn="0" w:firstRowLastColumn="0" w:lastRowFirstColumn="0" w:lastRowLastColumn="0"/>
            <w:tcW w:w="5000" w:type="pct"/>
            <w:gridSpan w:val="5"/>
          </w:tcPr>
          <w:p w:rsidR="0097780E" w:rsidRDefault="0097780E" w:rsidP="0097780E">
            <w:pPr>
              <w:pStyle w:val="11TableHeader"/>
              <w:rPr>
                <w:rFonts w:ascii="Arial" w:hAnsi="Arial" w:cs="Arial"/>
                <w:sz w:val="18"/>
                <w:szCs w:val="18"/>
              </w:rPr>
            </w:pPr>
            <w:r w:rsidRPr="0097780E">
              <w:t>Educational Background</w:t>
            </w:r>
          </w:p>
        </w:tc>
      </w:tr>
      <w:tr w:rsidR="0097780E" w:rsidTr="0097780E">
        <w:trPr>
          <w:cnfStyle w:val="100000000000" w:firstRow="1" w:lastRow="0" w:firstColumn="0" w:lastColumn="0" w:oddVBand="0" w:evenVBand="0" w:oddHBand="0" w:evenHBand="0" w:firstRowFirstColumn="0" w:firstRowLastColumn="0" w:lastRowFirstColumn="0" w:lastRowLastColumn="0"/>
          <w:cantSplit/>
          <w:trHeight w:val="288"/>
          <w:tblHeader/>
        </w:trPr>
        <w:tc>
          <w:tcPr>
            <w:cnfStyle w:val="001000000000" w:firstRow="0" w:lastRow="0" w:firstColumn="1" w:lastColumn="0" w:oddVBand="0" w:evenVBand="0" w:oddHBand="0" w:evenHBand="0" w:firstRowFirstColumn="0" w:firstRowLastColumn="0" w:lastRowFirstColumn="0" w:lastRowLastColumn="0"/>
            <w:tcW w:w="335" w:type="pct"/>
            <w:shd w:val="clear" w:color="auto" w:fill="91ADD7"/>
          </w:tcPr>
          <w:p w:rsidR="0097780E" w:rsidRPr="0097780E" w:rsidRDefault="0097780E" w:rsidP="0097780E">
            <w:pPr>
              <w:pStyle w:val="12TableTitle"/>
              <w:rPr>
                <w:color w:val="000000"/>
                <w:sz w:val="18"/>
              </w:rPr>
            </w:pPr>
            <w:proofErr w:type="spellStart"/>
            <w:r w:rsidRPr="0097780E">
              <w:rPr>
                <w:color w:val="000000"/>
                <w:sz w:val="18"/>
              </w:rPr>
              <w:t>S.No</w:t>
            </w:r>
            <w:proofErr w:type="spellEnd"/>
          </w:p>
        </w:tc>
        <w:tc>
          <w:tcPr>
            <w:tcW w:w="895" w:type="pct"/>
            <w:shd w:val="clear" w:color="auto" w:fill="91ADD7"/>
          </w:tcPr>
          <w:p w:rsidR="0097780E" w:rsidRPr="0097780E" w:rsidRDefault="0097780E" w:rsidP="0097780E">
            <w:pPr>
              <w:pStyle w:val="12TableTitle"/>
              <w:cnfStyle w:val="100000000000" w:firstRow="1" w:lastRow="0" w:firstColumn="0" w:lastColumn="0" w:oddVBand="0" w:evenVBand="0" w:oddHBand="0" w:evenHBand="0" w:firstRowFirstColumn="0" w:firstRowLastColumn="0" w:lastRowFirstColumn="0" w:lastRowLastColumn="0"/>
              <w:rPr>
                <w:color w:val="000000"/>
                <w:sz w:val="18"/>
              </w:rPr>
            </w:pPr>
            <w:r w:rsidRPr="0097780E">
              <w:rPr>
                <w:color w:val="000000"/>
                <w:sz w:val="18"/>
              </w:rPr>
              <w:t>Education</w:t>
            </w:r>
          </w:p>
        </w:tc>
        <w:tc>
          <w:tcPr>
            <w:tcW w:w="2680" w:type="pct"/>
            <w:shd w:val="clear" w:color="auto" w:fill="91ADD7"/>
          </w:tcPr>
          <w:p w:rsidR="0097780E" w:rsidRPr="0097780E" w:rsidRDefault="0097780E" w:rsidP="0097780E">
            <w:pPr>
              <w:pStyle w:val="12TableTitle"/>
              <w:cnfStyle w:val="100000000000" w:firstRow="1" w:lastRow="0" w:firstColumn="0" w:lastColumn="0" w:oddVBand="0" w:evenVBand="0" w:oddHBand="0" w:evenHBand="0" w:firstRowFirstColumn="0" w:firstRowLastColumn="0" w:lastRowFirstColumn="0" w:lastRowLastColumn="0"/>
              <w:rPr>
                <w:color w:val="000000"/>
                <w:sz w:val="18"/>
              </w:rPr>
            </w:pPr>
            <w:r w:rsidRPr="0097780E">
              <w:rPr>
                <w:color w:val="000000"/>
                <w:sz w:val="18"/>
              </w:rPr>
              <w:t xml:space="preserve">Department &amp; </w:t>
            </w:r>
            <w:r w:rsidR="00751888">
              <w:rPr>
                <w:color w:val="000000"/>
                <w:sz w:val="18"/>
              </w:rPr>
              <w:t>Institution</w:t>
            </w:r>
          </w:p>
        </w:tc>
        <w:tc>
          <w:tcPr>
            <w:tcW w:w="600" w:type="pct"/>
            <w:shd w:val="clear" w:color="auto" w:fill="91ADD7"/>
          </w:tcPr>
          <w:p w:rsidR="0097780E" w:rsidRPr="0097780E" w:rsidRDefault="0097780E" w:rsidP="00E9729C">
            <w:pPr>
              <w:pStyle w:val="12TableTitle"/>
              <w:cnfStyle w:val="100000000000" w:firstRow="1" w:lastRow="0" w:firstColumn="0" w:lastColumn="0" w:oddVBand="0" w:evenVBand="0" w:oddHBand="0" w:evenHBand="0" w:firstRowFirstColumn="0" w:firstRowLastColumn="0" w:lastRowFirstColumn="0" w:lastRowLastColumn="0"/>
              <w:rPr>
                <w:color w:val="000000"/>
                <w:sz w:val="18"/>
              </w:rPr>
            </w:pPr>
            <w:r w:rsidRPr="0097780E">
              <w:rPr>
                <w:color w:val="000000"/>
                <w:sz w:val="18"/>
              </w:rPr>
              <w:t xml:space="preserve">Start </w:t>
            </w:r>
            <w:r w:rsidR="00E9729C">
              <w:rPr>
                <w:color w:val="000000"/>
                <w:sz w:val="18"/>
              </w:rPr>
              <w:t>Date</w:t>
            </w:r>
          </w:p>
        </w:tc>
        <w:tc>
          <w:tcPr>
            <w:tcW w:w="490" w:type="pct"/>
            <w:shd w:val="clear" w:color="auto" w:fill="91ADD7"/>
          </w:tcPr>
          <w:p w:rsidR="0097780E" w:rsidRPr="0097780E" w:rsidRDefault="0097780E" w:rsidP="00E9729C">
            <w:pPr>
              <w:pStyle w:val="12TableTitle"/>
              <w:cnfStyle w:val="100000000000" w:firstRow="1" w:lastRow="0" w:firstColumn="0" w:lastColumn="0" w:oddVBand="0" w:evenVBand="0" w:oddHBand="0" w:evenHBand="0" w:firstRowFirstColumn="0" w:firstRowLastColumn="0" w:lastRowFirstColumn="0" w:lastRowLastColumn="0"/>
              <w:rPr>
                <w:color w:val="000000"/>
                <w:sz w:val="18"/>
              </w:rPr>
            </w:pPr>
            <w:r w:rsidRPr="0097780E">
              <w:rPr>
                <w:color w:val="000000"/>
                <w:sz w:val="18"/>
              </w:rPr>
              <w:t xml:space="preserve">End </w:t>
            </w:r>
            <w:r w:rsidR="00E9729C">
              <w:rPr>
                <w:color w:val="000000"/>
                <w:sz w:val="18"/>
              </w:rPr>
              <w:t>Date</w:t>
            </w:r>
          </w:p>
        </w:tc>
      </w:tr>
      <w:tr w:rsidR="00DA4C4A" w:rsidTr="00DA4C4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DA4C4A" w:rsidRDefault="00971FA4">
            <w:r>
              <w:t>1</w:t>
            </w:r>
          </w:p>
        </w:tc>
        <w:tc>
          <w:tcPr>
            <w:tcW w:w="1714" w:type="dxa"/>
          </w:tcPr>
          <w:p w:rsidR="00DA4C4A" w:rsidRDefault="00971FA4">
            <w:pPr>
              <w:cnfStyle w:val="000000100000" w:firstRow="0" w:lastRow="0" w:firstColumn="0" w:lastColumn="0" w:oddVBand="0" w:evenVBand="0" w:oddHBand="1" w:evenHBand="0" w:firstRowFirstColumn="0" w:firstRowLastColumn="0" w:lastRowFirstColumn="0" w:lastRowLastColumn="0"/>
            </w:pPr>
            <w:r>
              <w:t>Board Certified</w:t>
            </w:r>
          </w:p>
        </w:tc>
        <w:tc>
          <w:tcPr>
            <w:tcW w:w="5133" w:type="dxa"/>
          </w:tcPr>
          <w:p w:rsidR="00DA4C4A" w:rsidRDefault="00971FA4">
            <w:pPr>
              <w:cnfStyle w:val="000000100000" w:firstRow="0" w:lastRow="0" w:firstColumn="0" w:lastColumn="0" w:oddVBand="0" w:evenVBand="0" w:oddHBand="1" w:evenHBand="0" w:firstRowFirstColumn="0" w:firstRowLastColumn="0" w:lastRowFirstColumn="0" w:lastRowLastColumn="0"/>
            </w:pPr>
            <w:r>
              <w:t>Pediatric Hematology-Oncology, American Board of Pediatrics</w:t>
            </w:r>
          </w:p>
        </w:tc>
        <w:tc>
          <w:tcPr>
            <w:tcW w:w="1149" w:type="dxa"/>
          </w:tcPr>
          <w:p w:rsidR="00DA4C4A" w:rsidRDefault="00971FA4">
            <w:pPr>
              <w:jc w:val="center"/>
              <w:cnfStyle w:val="000000100000" w:firstRow="0" w:lastRow="0" w:firstColumn="0" w:lastColumn="0" w:oddVBand="0" w:evenVBand="0" w:oddHBand="1" w:evenHBand="0" w:firstRowFirstColumn="0" w:firstRowLastColumn="0" w:lastRowFirstColumn="0" w:lastRowLastColumn="0"/>
            </w:pPr>
            <w:r>
              <w:t>-</w:t>
            </w:r>
          </w:p>
        </w:tc>
        <w:tc>
          <w:tcPr>
            <w:tcW w:w="938" w:type="dxa"/>
          </w:tcPr>
          <w:p w:rsidR="00DA4C4A" w:rsidRDefault="00971FA4">
            <w:pPr>
              <w:jc w:val="center"/>
              <w:cnfStyle w:val="000000100000" w:firstRow="0" w:lastRow="0" w:firstColumn="0" w:lastColumn="0" w:oddVBand="0" w:evenVBand="0" w:oddHBand="1" w:evenHBand="0" w:firstRowFirstColumn="0" w:firstRowLastColumn="0" w:lastRowFirstColumn="0" w:lastRowLastColumn="0"/>
            </w:pPr>
            <w:r>
              <w:t>-</w:t>
            </w:r>
          </w:p>
        </w:tc>
      </w:tr>
      <w:tr w:rsidR="00DA4C4A" w:rsidTr="00DA4C4A">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DA4C4A" w:rsidRDefault="00971FA4">
            <w:r>
              <w:t>2</w:t>
            </w:r>
          </w:p>
        </w:tc>
        <w:tc>
          <w:tcPr>
            <w:tcW w:w="1714" w:type="dxa"/>
          </w:tcPr>
          <w:p w:rsidR="00DA4C4A" w:rsidRDefault="00971FA4">
            <w:pPr>
              <w:cnfStyle w:val="000000010000" w:firstRow="0" w:lastRow="0" w:firstColumn="0" w:lastColumn="0" w:oddVBand="0" w:evenVBand="0" w:oddHBand="0" w:evenHBand="1" w:firstRowFirstColumn="0" w:firstRowLastColumn="0" w:lastRowFirstColumn="0" w:lastRowLastColumn="0"/>
            </w:pPr>
            <w:r>
              <w:t>Board Certified</w:t>
            </w:r>
          </w:p>
        </w:tc>
        <w:tc>
          <w:tcPr>
            <w:tcW w:w="5133" w:type="dxa"/>
          </w:tcPr>
          <w:p w:rsidR="00DA4C4A" w:rsidRDefault="00971FA4">
            <w:pPr>
              <w:cnfStyle w:val="000000010000" w:firstRow="0" w:lastRow="0" w:firstColumn="0" w:lastColumn="0" w:oddVBand="0" w:evenVBand="0" w:oddHBand="0" w:evenHBand="1" w:firstRowFirstColumn="0" w:firstRowLastColumn="0" w:lastRowFirstColumn="0" w:lastRowLastColumn="0"/>
            </w:pPr>
            <w:r>
              <w:t xml:space="preserve">Pediatrics, American </w:t>
            </w:r>
            <w:r>
              <w:t>Board of Pediatrics</w:t>
            </w:r>
          </w:p>
        </w:tc>
        <w:tc>
          <w:tcPr>
            <w:tcW w:w="1149" w:type="dxa"/>
          </w:tcPr>
          <w:p w:rsidR="00DA4C4A" w:rsidRDefault="00971FA4">
            <w:pPr>
              <w:jc w:val="center"/>
              <w:cnfStyle w:val="000000010000" w:firstRow="0" w:lastRow="0" w:firstColumn="0" w:lastColumn="0" w:oddVBand="0" w:evenVBand="0" w:oddHBand="0" w:evenHBand="1" w:firstRowFirstColumn="0" w:firstRowLastColumn="0" w:lastRowFirstColumn="0" w:lastRowLastColumn="0"/>
            </w:pPr>
            <w:r>
              <w:t>-</w:t>
            </w:r>
          </w:p>
        </w:tc>
        <w:tc>
          <w:tcPr>
            <w:tcW w:w="938" w:type="dxa"/>
          </w:tcPr>
          <w:p w:rsidR="00DA4C4A" w:rsidRDefault="00971FA4">
            <w:pPr>
              <w:jc w:val="center"/>
              <w:cnfStyle w:val="000000010000" w:firstRow="0" w:lastRow="0" w:firstColumn="0" w:lastColumn="0" w:oddVBand="0" w:evenVBand="0" w:oddHBand="0" w:evenHBand="1" w:firstRowFirstColumn="0" w:firstRowLastColumn="0" w:lastRowFirstColumn="0" w:lastRowLastColumn="0"/>
            </w:pPr>
            <w:r>
              <w:t>-</w:t>
            </w:r>
          </w:p>
        </w:tc>
      </w:tr>
      <w:tr w:rsidR="00DA4C4A" w:rsidTr="00DA4C4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DA4C4A" w:rsidRDefault="00971FA4">
            <w:r>
              <w:t>3</w:t>
            </w:r>
          </w:p>
        </w:tc>
        <w:tc>
          <w:tcPr>
            <w:tcW w:w="1714" w:type="dxa"/>
          </w:tcPr>
          <w:p w:rsidR="00DA4C4A" w:rsidRDefault="00971FA4">
            <w:pPr>
              <w:cnfStyle w:val="000000100000" w:firstRow="0" w:lastRow="0" w:firstColumn="0" w:lastColumn="0" w:oddVBand="0" w:evenVBand="0" w:oddHBand="1" w:evenHBand="0" w:firstRowFirstColumn="0" w:firstRowLastColumn="0" w:lastRowFirstColumn="0" w:lastRowLastColumn="0"/>
            </w:pPr>
            <w:r>
              <w:t>Fellowship</w:t>
            </w:r>
          </w:p>
        </w:tc>
        <w:tc>
          <w:tcPr>
            <w:tcW w:w="5133" w:type="dxa"/>
          </w:tcPr>
          <w:p w:rsidR="00DA4C4A" w:rsidRDefault="00971FA4">
            <w:pPr>
              <w:cnfStyle w:val="000000100000" w:firstRow="0" w:lastRow="0" w:firstColumn="0" w:lastColumn="0" w:oddVBand="0" w:evenVBand="0" w:oddHBand="1" w:evenHBand="0" w:firstRowFirstColumn="0" w:firstRowLastColumn="0" w:lastRowFirstColumn="0" w:lastRowLastColumn="0"/>
            </w:pPr>
            <w:r>
              <w:t>Clinical Immunodeficiency, Cincinnati Children's Hospital Medical Center</w:t>
            </w:r>
          </w:p>
        </w:tc>
        <w:tc>
          <w:tcPr>
            <w:tcW w:w="1149" w:type="dxa"/>
          </w:tcPr>
          <w:p w:rsidR="00DA4C4A" w:rsidRDefault="00971FA4">
            <w:pPr>
              <w:jc w:val="center"/>
              <w:cnfStyle w:val="000000100000" w:firstRow="0" w:lastRow="0" w:firstColumn="0" w:lastColumn="0" w:oddVBand="0" w:evenVBand="0" w:oddHBand="1" w:evenHBand="0" w:firstRowFirstColumn="0" w:firstRowLastColumn="0" w:lastRowFirstColumn="0" w:lastRowLastColumn="0"/>
            </w:pPr>
            <w:r>
              <w:t>1-Jul-2014</w:t>
            </w:r>
          </w:p>
        </w:tc>
        <w:tc>
          <w:tcPr>
            <w:tcW w:w="938" w:type="dxa"/>
          </w:tcPr>
          <w:p w:rsidR="00DA4C4A" w:rsidRDefault="00971FA4">
            <w:pPr>
              <w:jc w:val="center"/>
              <w:cnfStyle w:val="000000100000" w:firstRow="0" w:lastRow="0" w:firstColumn="0" w:lastColumn="0" w:oddVBand="0" w:evenVBand="0" w:oddHBand="1" w:evenHBand="0" w:firstRowFirstColumn="0" w:firstRowLastColumn="0" w:lastRowFirstColumn="0" w:lastRowLastColumn="0"/>
            </w:pPr>
            <w:r>
              <w:t>31-Aug-2015</w:t>
            </w:r>
          </w:p>
        </w:tc>
      </w:tr>
      <w:tr w:rsidR="00DA4C4A" w:rsidTr="00DA4C4A">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DA4C4A" w:rsidRDefault="00971FA4">
            <w:r>
              <w:t>4</w:t>
            </w:r>
          </w:p>
        </w:tc>
        <w:tc>
          <w:tcPr>
            <w:tcW w:w="1714" w:type="dxa"/>
          </w:tcPr>
          <w:p w:rsidR="00DA4C4A" w:rsidRDefault="00971FA4">
            <w:pPr>
              <w:cnfStyle w:val="000000010000" w:firstRow="0" w:lastRow="0" w:firstColumn="0" w:lastColumn="0" w:oddVBand="0" w:evenVBand="0" w:oddHBand="0" w:evenHBand="1" w:firstRowFirstColumn="0" w:firstRowLastColumn="0" w:lastRowFirstColumn="0" w:lastRowLastColumn="0"/>
            </w:pPr>
            <w:r>
              <w:t>Fellowship</w:t>
            </w:r>
          </w:p>
        </w:tc>
        <w:tc>
          <w:tcPr>
            <w:tcW w:w="5133" w:type="dxa"/>
          </w:tcPr>
          <w:p w:rsidR="00DA4C4A" w:rsidRDefault="00971FA4">
            <w:pPr>
              <w:cnfStyle w:val="000000010000" w:firstRow="0" w:lastRow="0" w:firstColumn="0" w:lastColumn="0" w:oddVBand="0" w:evenVBand="0" w:oddHBand="0" w:evenHBand="1" w:firstRowFirstColumn="0" w:firstRowLastColumn="0" w:lastRowFirstColumn="0" w:lastRowLastColumn="0"/>
            </w:pPr>
            <w:r>
              <w:t>Allergy and Immunology, Cincinnati Children's Hospital Medical Center</w:t>
            </w:r>
          </w:p>
        </w:tc>
        <w:tc>
          <w:tcPr>
            <w:tcW w:w="1149" w:type="dxa"/>
          </w:tcPr>
          <w:p w:rsidR="00DA4C4A" w:rsidRDefault="00971FA4">
            <w:pPr>
              <w:jc w:val="center"/>
              <w:cnfStyle w:val="000000010000" w:firstRow="0" w:lastRow="0" w:firstColumn="0" w:lastColumn="0" w:oddVBand="0" w:evenVBand="0" w:oddHBand="0" w:evenHBand="1" w:firstRowFirstColumn="0" w:firstRowLastColumn="0" w:lastRowFirstColumn="0" w:lastRowLastColumn="0"/>
            </w:pPr>
            <w:r>
              <w:t>2014</w:t>
            </w:r>
          </w:p>
        </w:tc>
        <w:tc>
          <w:tcPr>
            <w:tcW w:w="938" w:type="dxa"/>
          </w:tcPr>
          <w:p w:rsidR="00DA4C4A" w:rsidRDefault="00971FA4">
            <w:pPr>
              <w:jc w:val="center"/>
              <w:cnfStyle w:val="000000010000" w:firstRow="0" w:lastRow="0" w:firstColumn="0" w:lastColumn="0" w:oddVBand="0" w:evenVBand="0" w:oddHBand="0" w:evenHBand="1" w:firstRowFirstColumn="0" w:firstRowLastColumn="0" w:lastRowFirstColumn="0" w:lastRowLastColumn="0"/>
            </w:pPr>
            <w:r>
              <w:t>2015</w:t>
            </w:r>
          </w:p>
        </w:tc>
      </w:tr>
      <w:tr w:rsidR="00DA4C4A" w:rsidTr="00DA4C4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DA4C4A" w:rsidRDefault="00971FA4">
            <w:r>
              <w:t>5</w:t>
            </w:r>
          </w:p>
        </w:tc>
        <w:tc>
          <w:tcPr>
            <w:tcW w:w="1714" w:type="dxa"/>
          </w:tcPr>
          <w:p w:rsidR="00DA4C4A" w:rsidRDefault="00971FA4">
            <w:pPr>
              <w:cnfStyle w:val="000000100000" w:firstRow="0" w:lastRow="0" w:firstColumn="0" w:lastColumn="0" w:oddVBand="0" w:evenVBand="0" w:oddHBand="1" w:evenHBand="0" w:firstRowFirstColumn="0" w:firstRowLastColumn="0" w:lastRowFirstColumn="0" w:lastRowLastColumn="0"/>
            </w:pPr>
            <w:r>
              <w:t>Fellowship</w:t>
            </w:r>
          </w:p>
        </w:tc>
        <w:tc>
          <w:tcPr>
            <w:tcW w:w="5133" w:type="dxa"/>
          </w:tcPr>
          <w:p w:rsidR="00DA4C4A" w:rsidRDefault="00971FA4">
            <w:pPr>
              <w:cnfStyle w:val="000000100000" w:firstRow="0" w:lastRow="0" w:firstColumn="0" w:lastColumn="0" w:oddVBand="0" w:evenVBand="0" w:oddHBand="1" w:evenHBand="0" w:firstRowFirstColumn="0" w:firstRowLastColumn="0" w:lastRowFirstColumn="0" w:lastRowLastColumn="0"/>
            </w:pPr>
            <w:r>
              <w:t>Pediatric Hema</w:t>
            </w:r>
            <w:r>
              <w:t>tology-Oncology, Oregon Health &amp; Science University</w:t>
            </w:r>
          </w:p>
        </w:tc>
        <w:tc>
          <w:tcPr>
            <w:tcW w:w="1149" w:type="dxa"/>
          </w:tcPr>
          <w:p w:rsidR="00DA4C4A" w:rsidRDefault="00971FA4">
            <w:pPr>
              <w:jc w:val="center"/>
              <w:cnfStyle w:val="000000100000" w:firstRow="0" w:lastRow="0" w:firstColumn="0" w:lastColumn="0" w:oddVBand="0" w:evenVBand="0" w:oddHBand="1" w:evenHBand="0" w:firstRowFirstColumn="0" w:firstRowLastColumn="0" w:lastRowFirstColumn="0" w:lastRowLastColumn="0"/>
            </w:pPr>
            <w:r>
              <w:t>1-Jul-2011</w:t>
            </w:r>
          </w:p>
        </w:tc>
        <w:tc>
          <w:tcPr>
            <w:tcW w:w="938" w:type="dxa"/>
          </w:tcPr>
          <w:p w:rsidR="00DA4C4A" w:rsidRDefault="00971FA4">
            <w:pPr>
              <w:jc w:val="center"/>
              <w:cnfStyle w:val="000000100000" w:firstRow="0" w:lastRow="0" w:firstColumn="0" w:lastColumn="0" w:oddVBand="0" w:evenVBand="0" w:oddHBand="1" w:evenHBand="0" w:firstRowFirstColumn="0" w:firstRowLastColumn="0" w:lastRowFirstColumn="0" w:lastRowLastColumn="0"/>
            </w:pPr>
            <w:r>
              <w:t>30-Jun-2014</w:t>
            </w:r>
          </w:p>
        </w:tc>
      </w:tr>
      <w:tr w:rsidR="00DA4C4A" w:rsidTr="00DA4C4A">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DA4C4A" w:rsidRDefault="00971FA4">
            <w:r>
              <w:t>6</w:t>
            </w:r>
          </w:p>
        </w:tc>
        <w:tc>
          <w:tcPr>
            <w:tcW w:w="1714" w:type="dxa"/>
          </w:tcPr>
          <w:p w:rsidR="00DA4C4A" w:rsidRDefault="00971FA4">
            <w:pPr>
              <w:cnfStyle w:val="000000010000" w:firstRow="0" w:lastRow="0" w:firstColumn="0" w:lastColumn="0" w:oddVBand="0" w:evenVBand="0" w:oddHBand="0" w:evenHBand="1" w:firstRowFirstColumn="0" w:firstRowLastColumn="0" w:lastRowFirstColumn="0" w:lastRowLastColumn="0"/>
            </w:pPr>
            <w:r>
              <w:t>Residency</w:t>
            </w:r>
          </w:p>
        </w:tc>
        <w:tc>
          <w:tcPr>
            <w:tcW w:w="5133" w:type="dxa"/>
          </w:tcPr>
          <w:p w:rsidR="00DA4C4A" w:rsidRDefault="00971FA4">
            <w:pPr>
              <w:cnfStyle w:val="000000010000" w:firstRow="0" w:lastRow="0" w:firstColumn="0" w:lastColumn="0" w:oddVBand="0" w:evenVBand="0" w:oddHBand="0" w:evenHBand="1" w:firstRowFirstColumn="0" w:firstRowLastColumn="0" w:lastRowFirstColumn="0" w:lastRowLastColumn="0"/>
            </w:pPr>
            <w:r>
              <w:t>Internal Medicine and Pediatrics, Rush University Medical Center</w:t>
            </w:r>
          </w:p>
        </w:tc>
        <w:tc>
          <w:tcPr>
            <w:tcW w:w="1149" w:type="dxa"/>
          </w:tcPr>
          <w:p w:rsidR="00DA4C4A" w:rsidRDefault="00971FA4">
            <w:pPr>
              <w:jc w:val="center"/>
              <w:cnfStyle w:val="000000010000" w:firstRow="0" w:lastRow="0" w:firstColumn="0" w:lastColumn="0" w:oddVBand="0" w:evenVBand="0" w:oddHBand="0" w:evenHBand="1" w:firstRowFirstColumn="0" w:firstRowLastColumn="0" w:lastRowFirstColumn="0" w:lastRowLastColumn="0"/>
            </w:pPr>
            <w:r>
              <w:t>1-Jul-2007</w:t>
            </w:r>
          </w:p>
        </w:tc>
        <w:tc>
          <w:tcPr>
            <w:tcW w:w="938" w:type="dxa"/>
          </w:tcPr>
          <w:p w:rsidR="00DA4C4A" w:rsidRDefault="00971FA4">
            <w:pPr>
              <w:jc w:val="center"/>
              <w:cnfStyle w:val="000000010000" w:firstRow="0" w:lastRow="0" w:firstColumn="0" w:lastColumn="0" w:oddVBand="0" w:evenVBand="0" w:oddHBand="0" w:evenHBand="1" w:firstRowFirstColumn="0" w:firstRowLastColumn="0" w:lastRowFirstColumn="0" w:lastRowLastColumn="0"/>
            </w:pPr>
            <w:r>
              <w:t>30-Jun-2011</w:t>
            </w:r>
          </w:p>
        </w:tc>
      </w:tr>
      <w:tr w:rsidR="00DA4C4A" w:rsidTr="00DA4C4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DA4C4A" w:rsidRDefault="00971FA4">
            <w:r>
              <w:t>7</w:t>
            </w:r>
          </w:p>
        </w:tc>
        <w:tc>
          <w:tcPr>
            <w:tcW w:w="1714" w:type="dxa"/>
          </w:tcPr>
          <w:p w:rsidR="00DA4C4A" w:rsidRDefault="00971FA4">
            <w:pPr>
              <w:cnfStyle w:val="000000100000" w:firstRow="0" w:lastRow="0" w:firstColumn="0" w:lastColumn="0" w:oddVBand="0" w:evenVBand="0" w:oddHBand="1" w:evenHBand="0" w:firstRowFirstColumn="0" w:firstRowLastColumn="0" w:lastRowFirstColumn="0" w:lastRowLastColumn="0"/>
            </w:pPr>
            <w:r>
              <w:t>Internship</w:t>
            </w:r>
          </w:p>
        </w:tc>
        <w:tc>
          <w:tcPr>
            <w:tcW w:w="5133" w:type="dxa"/>
          </w:tcPr>
          <w:p w:rsidR="00DA4C4A" w:rsidRDefault="00971FA4">
            <w:pPr>
              <w:cnfStyle w:val="000000100000" w:firstRow="0" w:lastRow="0" w:firstColumn="0" w:lastColumn="0" w:oddVBand="0" w:evenVBand="0" w:oddHBand="1" w:evenHBand="0" w:firstRowFirstColumn="0" w:firstRowLastColumn="0" w:lastRowFirstColumn="0" w:lastRowLastColumn="0"/>
            </w:pPr>
            <w:r>
              <w:t>Pediatrics, Rush University</w:t>
            </w:r>
          </w:p>
        </w:tc>
        <w:tc>
          <w:tcPr>
            <w:tcW w:w="1149" w:type="dxa"/>
          </w:tcPr>
          <w:p w:rsidR="00DA4C4A" w:rsidRDefault="00971FA4">
            <w:pPr>
              <w:jc w:val="center"/>
              <w:cnfStyle w:val="000000100000" w:firstRow="0" w:lastRow="0" w:firstColumn="0" w:lastColumn="0" w:oddVBand="0" w:evenVBand="0" w:oddHBand="1" w:evenHBand="0" w:firstRowFirstColumn="0" w:firstRowLastColumn="0" w:lastRowFirstColumn="0" w:lastRowLastColumn="0"/>
            </w:pPr>
            <w:r>
              <w:t>Jul-2007</w:t>
            </w:r>
          </w:p>
        </w:tc>
        <w:tc>
          <w:tcPr>
            <w:tcW w:w="938" w:type="dxa"/>
          </w:tcPr>
          <w:p w:rsidR="00DA4C4A" w:rsidRDefault="00971FA4">
            <w:pPr>
              <w:jc w:val="center"/>
              <w:cnfStyle w:val="000000100000" w:firstRow="0" w:lastRow="0" w:firstColumn="0" w:lastColumn="0" w:oddVBand="0" w:evenVBand="0" w:oddHBand="1" w:evenHBand="0" w:firstRowFirstColumn="0" w:firstRowLastColumn="0" w:lastRowFirstColumn="0" w:lastRowLastColumn="0"/>
            </w:pPr>
            <w:r>
              <w:t>Jun-2008</w:t>
            </w:r>
          </w:p>
        </w:tc>
      </w:tr>
      <w:tr w:rsidR="00DA4C4A" w:rsidTr="00DA4C4A">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DA4C4A" w:rsidRDefault="00971FA4">
            <w:r>
              <w:t>8</w:t>
            </w:r>
          </w:p>
        </w:tc>
        <w:tc>
          <w:tcPr>
            <w:tcW w:w="1714" w:type="dxa"/>
          </w:tcPr>
          <w:p w:rsidR="00DA4C4A" w:rsidRDefault="00971FA4">
            <w:pPr>
              <w:cnfStyle w:val="000000010000" w:firstRow="0" w:lastRow="0" w:firstColumn="0" w:lastColumn="0" w:oddVBand="0" w:evenVBand="0" w:oddHBand="0" w:evenHBand="1" w:firstRowFirstColumn="0" w:firstRowLastColumn="0" w:lastRowFirstColumn="0" w:lastRowLastColumn="0"/>
            </w:pPr>
            <w:r>
              <w:t>Master</w:t>
            </w:r>
          </w:p>
        </w:tc>
        <w:tc>
          <w:tcPr>
            <w:tcW w:w="5133" w:type="dxa"/>
          </w:tcPr>
          <w:p w:rsidR="00DA4C4A" w:rsidRDefault="00971FA4">
            <w:pPr>
              <w:cnfStyle w:val="000000010000" w:firstRow="0" w:lastRow="0" w:firstColumn="0" w:lastColumn="0" w:oddVBand="0" w:evenVBand="0" w:oddHBand="0" w:evenHBand="1" w:firstRowFirstColumn="0" w:firstRowLastColumn="0" w:lastRowFirstColumn="0" w:lastRowLastColumn="0"/>
            </w:pPr>
            <w:r>
              <w:t>University</w:t>
            </w:r>
            <w:r>
              <w:t xml:space="preserve"> of Puerto Rico</w:t>
            </w:r>
          </w:p>
        </w:tc>
        <w:tc>
          <w:tcPr>
            <w:tcW w:w="1149" w:type="dxa"/>
          </w:tcPr>
          <w:p w:rsidR="00DA4C4A" w:rsidRDefault="00971FA4">
            <w:pPr>
              <w:jc w:val="center"/>
              <w:cnfStyle w:val="000000010000" w:firstRow="0" w:lastRow="0" w:firstColumn="0" w:lastColumn="0" w:oddVBand="0" w:evenVBand="0" w:oddHBand="0" w:evenHBand="1" w:firstRowFirstColumn="0" w:firstRowLastColumn="0" w:lastRowFirstColumn="0" w:lastRowLastColumn="0"/>
            </w:pPr>
            <w:r>
              <w:t>1-Aug-2003</w:t>
            </w:r>
          </w:p>
        </w:tc>
        <w:tc>
          <w:tcPr>
            <w:tcW w:w="938" w:type="dxa"/>
          </w:tcPr>
          <w:p w:rsidR="00DA4C4A" w:rsidRDefault="00971FA4">
            <w:pPr>
              <w:jc w:val="center"/>
              <w:cnfStyle w:val="000000010000" w:firstRow="0" w:lastRow="0" w:firstColumn="0" w:lastColumn="0" w:oddVBand="0" w:evenVBand="0" w:oddHBand="0" w:evenHBand="1" w:firstRowFirstColumn="0" w:firstRowLastColumn="0" w:lastRowFirstColumn="0" w:lastRowLastColumn="0"/>
            </w:pPr>
            <w:r>
              <w:t>10-Jun-2007</w:t>
            </w:r>
          </w:p>
        </w:tc>
      </w:tr>
      <w:tr w:rsidR="00DA4C4A" w:rsidTr="00DA4C4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DA4C4A" w:rsidRDefault="00971FA4">
            <w:r>
              <w:t>9</w:t>
            </w:r>
          </w:p>
        </w:tc>
        <w:tc>
          <w:tcPr>
            <w:tcW w:w="1714" w:type="dxa"/>
          </w:tcPr>
          <w:p w:rsidR="00DA4C4A" w:rsidRDefault="00971FA4">
            <w:pPr>
              <w:cnfStyle w:val="000000100000" w:firstRow="0" w:lastRow="0" w:firstColumn="0" w:lastColumn="0" w:oddVBand="0" w:evenVBand="0" w:oddHBand="1" w:evenHBand="0" w:firstRowFirstColumn="0" w:firstRowLastColumn="0" w:lastRowFirstColumn="0" w:lastRowLastColumn="0"/>
            </w:pPr>
            <w:r>
              <w:t>Bachelor</w:t>
            </w:r>
          </w:p>
        </w:tc>
        <w:tc>
          <w:tcPr>
            <w:tcW w:w="5133" w:type="dxa"/>
          </w:tcPr>
          <w:p w:rsidR="00DA4C4A" w:rsidRDefault="00971FA4">
            <w:pPr>
              <w:cnfStyle w:val="000000100000" w:firstRow="0" w:lastRow="0" w:firstColumn="0" w:lastColumn="0" w:oddVBand="0" w:evenVBand="0" w:oddHBand="1" w:evenHBand="0" w:firstRowFirstColumn="0" w:firstRowLastColumn="0" w:lastRowFirstColumn="0" w:lastRowLastColumn="0"/>
            </w:pPr>
            <w:r>
              <w:t>University of Puerto Rico</w:t>
            </w:r>
          </w:p>
        </w:tc>
        <w:tc>
          <w:tcPr>
            <w:tcW w:w="1149" w:type="dxa"/>
          </w:tcPr>
          <w:p w:rsidR="00DA4C4A" w:rsidRDefault="00971FA4">
            <w:pPr>
              <w:jc w:val="center"/>
              <w:cnfStyle w:val="000000100000" w:firstRow="0" w:lastRow="0" w:firstColumn="0" w:lastColumn="0" w:oddVBand="0" w:evenVBand="0" w:oddHBand="1" w:evenHBand="0" w:firstRowFirstColumn="0" w:firstRowLastColumn="0" w:lastRowFirstColumn="0" w:lastRowLastColumn="0"/>
            </w:pPr>
            <w:r>
              <w:t>1999</w:t>
            </w:r>
          </w:p>
        </w:tc>
        <w:tc>
          <w:tcPr>
            <w:tcW w:w="938" w:type="dxa"/>
          </w:tcPr>
          <w:p w:rsidR="00DA4C4A" w:rsidRDefault="00971FA4">
            <w:pPr>
              <w:jc w:val="center"/>
              <w:cnfStyle w:val="000000100000" w:firstRow="0" w:lastRow="0" w:firstColumn="0" w:lastColumn="0" w:oddVBand="0" w:evenVBand="0" w:oddHBand="1" w:evenHBand="0" w:firstRowFirstColumn="0" w:firstRowLastColumn="0" w:lastRowFirstColumn="0" w:lastRowLastColumn="0"/>
            </w:pPr>
            <w:r>
              <w:t>2003</w:t>
            </w:r>
          </w:p>
        </w:tc>
      </w:tr>
    </w:tbl>
    <w:p w:rsidR="003F3531" w:rsidRDefault="003F3531" w:rsidP="00763471">
      <w:pPr>
        <w:spacing w:after="0" w:line="240" w:lineRule="auto"/>
        <w:rPr>
          <w:rFonts w:ascii="Arial" w:hAnsi="Arial" w:cs="Arial"/>
          <w:sz w:val="18"/>
          <w:szCs w:val="18"/>
        </w:rPr>
      </w:pPr>
    </w:p>
    <w:tbl>
      <w:tblPr>
        <w:tblW w:w="5000" w:type="pct"/>
        <w:jc w:val="center"/>
        <w:tblLayout w:type="fixed"/>
        <w:tblLook w:val="0000" w:firstRow="0" w:lastRow="0" w:firstColumn="0" w:lastColumn="0" w:noHBand="0" w:noVBand="0"/>
      </w:tblPr>
      <w:tblGrid>
        <w:gridCol w:w="774"/>
        <w:gridCol w:w="8802"/>
      </w:tblGrid>
      <w:tr w:rsidR="0097780E" w:rsidTr="0097780E">
        <w:trPr>
          <w:cantSplit/>
          <w:trHeight w:val="288"/>
          <w:tblHeader/>
          <w:jc w:val="center"/>
        </w:trPr>
        <w:tc>
          <w:tcPr>
            <w:tcW w:w="5000" w:type="pct"/>
            <w:gridSpan w:val="2"/>
            <w:tcBorders>
              <w:top w:val="single" w:sz="4" w:space="0" w:color="7BA0CD"/>
              <w:left w:val="single" w:sz="4" w:space="0" w:color="7BA0CD"/>
              <w:bottom w:val="single" w:sz="4" w:space="0" w:color="7BA0CD"/>
            </w:tcBorders>
            <w:shd w:val="clear" w:color="auto" w:fill="4F81BD"/>
            <w:vAlign w:val="center"/>
          </w:tcPr>
          <w:p w:rsidR="0097780E" w:rsidRPr="008036F8" w:rsidRDefault="0097780E" w:rsidP="0097780E">
            <w:pPr>
              <w:pStyle w:val="11TableHeader"/>
              <w:rPr>
                <w:rFonts w:ascii="Arial" w:hAnsi="Arial" w:cs="Arial"/>
                <w:b w:val="0"/>
                <w:sz w:val="18"/>
                <w:szCs w:val="18"/>
              </w:rPr>
            </w:pPr>
            <w:r w:rsidRPr="008036F8">
              <w:rPr>
                <w:b w:val="0"/>
              </w:rPr>
              <w:t>Areas of Interest</w:t>
            </w:r>
          </w:p>
        </w:tc>
      </w:tr>
      <w:tr w:rsidR="0097780E" w:rsidTr="0097780E">
        <w:trPr>
          <w:cantSplit/>
          <w:trHeight w:val="288"/>
          <w:jc w:val="center"/>
        </w:trPr>
        <w:tc>
          <w:tcPr>
            <w:tcW w:w="404" w:type="pct"/>
            <w:tcBorders>
              <w:top w:val="single" w:sz="4" w:space="0" w:color="7BA0CD"/>
              <w:left w:val="single" w:sz="4" w:space="0" w:color="7BA0CD"/>
              <w:bottom w:val="single" w:sz="4" w:space="0" w:color="7BA0CD"/>
              <w:right w:val="single" w:sz="4" w:space="0" w:color="7BA0CD"/>
            </w:tcBorders>
            <w:shd w:val="clear" w:color="auto" w:fill="D3DFEE"/>
            <w:vAlign w:val="center"/>
          </w:tcPr>
          <w:p w:rsidR="0097780E" w:rsidRPr="0097780E" w:rsidRDefault="0097780E" w:rsidP="0097780E">
            <w:pPr>
              <w:pStyle w:val="12TableTitle"/>
              <w:rPr>
                <w:b w:val="0"/>
                <w:sz w:val="18"/>
              </w:rPr>
            </w:pPr>
            <w:r>
              <w:rPr>
                <w:rStyle w:val="CommentsStyle"/>
                <w:b w:val="0"/>
              </w:rPr>
              <w:t>1</w:t>
            </w:r>
          </w:p>
        </w:tc>
        <w:tc>
          <w:tcPr>
            <w:tcW w:w="4596" w:type="pct"/>
            <w:tcBorders>
              <w:top w:val="single" w:sz="4" w:space="0" w:color="7BA0CD"/>
              <w:left w:val="single" w:sz="4" w:space="0" w:color="7BA0CD"/>
              <w:bottom w:val="single" w:sz="4" w:space="0" w:color="7BA0CD"/>
              <w:right w:val="single" w:sz="4" w:space="0" w:color="7BA0CD"/>
            </w:tcBorders>
            <w:shd w:val="clear" w:color="auto" w:fill="D3DFEE"/>
            <w:vAlign w:val="center"/>
          </w:tcPr>
          <w:p w:rsidR="0097780E" w:rsidRPr="0097780E" w:rsidRDefault="0097780E" w:rsidP="0097780E">
            <w:pPr>
              <w:pStyle w:val="12TableTitle"/>
              <w:jc w:val="left"/>
              <w:rPr>
                <w:b w:val="0"/>
                <w:sz w:val="18"/>
              </w:rPr>
            </w:pPr>
            <w:r>
              <w:rPr>
                <w:rStyle w:val="CommentsStyle"/>
                <w:b w:val="0"/>
              </w:rPr>
              <w:t>Immune Deficiency Disorders, Immune Regulatory Disorders, Non-Malignant Disorders, Stem Cell Transplants</w:t>
            </w:r>
          </w:p>
        </w:tc>
      </w:tr>
    </w:tbl>
    <w:p w:rsidR="002E721E" w:rsidRDefault="002E721E" w:rsidP="00763471">
      <w:pPr>
        <w:spacing w:after="0" w:line="240" w:lineRule="auto"/>
        <w:rPr>
          <w:rFonts w:ascii="Arial" w:hAnsi="Arial" w:cs="Arial"/>
          <w:sz w:val="18"/>
          <w:szCs w:val="18"/>
        </w:rPr>
      </w:pPr>
    </w:p>
    <w:tbl>
      <w:tblPr>
        <w:tblStyle w:val="MediumShading1-Accent1"/>
        <w:tblW w:w="5000" w:type="pct"/>
        <w:tblLayout w:type="fixed"/>
        <w:tblLook w:val="04A0" w:firstRow="1" w:lastRow="0" w:firstColumn="1" w:lastColumn="0" w:noHBand="0" w:noVBand="1"/>
      </w:tblPr>
      <w:tblGrid>
        <w:gridCol w:w="642"/>
        <w:gridCol w:w="8934"/>
      </w:tblGrid>
      <w:tr w:rsidR="0097780E" w:rsidTr="0097780E">
        <w:trPr>
          <w:cnfStyle w:val="100000000000" w:firstRow="1" w:lastRow="0" w:firstColumn="0" w:lastColumn="0" w:oddVBand="0" w:evenVBand="0" w:oddHBand="0" w:evenHBand="0" w:firstRowFirstColumn="0" w:firstRowLastColumn="0" w:lastRowFirstColumn="0" w:lastRowLastColumn="0"/>
          <w:cantSplit/>
          <w:trHeight w:val="288"/>
          <w:tblHeader/>
        </w:trPr>
        <w:tc>
          <w:tcPr>
            <w:cnfStyle w:val="001000000000" w:firstRow="0" w:lastRow="0" w:firstColumn="1" w:lastColumn="0" w:oddVBand="0" w:evenVBand="0" w:oddHBand="0" w:evenHBand="0" w:firstRowFirstColumn="0" w:firstRowLastColumn="0" w:lastRowFirstColumn="0" w:lastRowLastColumn="0"/>
            <w:tcW w:w="5000" w:type="pct"/>
            <w:gridSpan w:val="2"/>
          </w:tcPr>
          <w:p w:rsidR="0097780E" w:rsidRDefault="0097780E" w:rsidP="0097780E">
            <w:pPr>
              <w:pStyle w:val="11TableHeader"/>
              <w:rPr>
                <w:rFonts w:ascii="Arial" w:hAnsi="Arial" w:cs="Arial"/>
                <w:sz w:val="18"/>
                <w:szCs w:val="18"/>
              </w:rPr>
            </w:pPr>
            <w:r w:rsidRPr="0097780E">
              <w:t>Clinical Trial</w:t>
            </w:r>
            <w:r w:rsidR="0052141B">
              <w:t>s</w:t>
            </w:r>
          </w:p>
        </w:tc>
      </w:tr>
      <w:tr w:rsidR="0097780E" w:rsidTr="0097780E">
        <w:trPr>
          <w:cnfStyle w:val="100000000000" w:firstRow="1" w:lastRow="0" w:firstColumn="0" w:lastColumn="0" w:oddVBand="0" w:evenVBand="0" w:oddHBand="0" w:evenHBand="0" w:firstRowFirstColumn="0" w:firstRowLastColumn="0" w:lastRowFirstColumn="0" w:lastRowLastColumn="0"/>
          <w:cantSplit/>
          <w:trHeight w:val="288"/>
          <w:tblHeader/>
        </w:trPr>
        <w:tc>
          <w:tcPr>
            <w:cnfStyle w:val="001000000000" w:firstRow="0" w:lastRow="0" w:firstColumn="1" w:lastColumn="0" w:oddVBand="0" w:evenVBand="0" w:oddHBand="0" w:evenHBand="0" w:firstRowFirstColumn="0" w:firstRowLastColumn="0" w:lastRowFirstColumn="0" w:lastRowLastColumn="0"/>
            <w:tcW w:w="335" w:type="pct"/>
            <w:shd w:val="clear" w:color="auto" w:fill="91ADD7"/>
          </w:tcPr>
          <w:p w:rsidR="0097780E" w:rsidRPr="0097780E" w:rsidRDefault="0097780E" w:rsidP="0097780E">
            <w:pPr>
              <w:pStyle w:val="12TableTitle"/>
              <w:rPr>
                <w:color w:val="000000"/>
                <w:sz w:val="18"/>
              </w:rPr>
            </w:pPr>
            <w:proofErr w:type="spellStart"/>
            <w:r w:rsidRPr="0097780E">
              <w:rPr>
                <w:color w:val="000000"/>
                <w:sz w:val="18"/>
              </w:rPr>
              <w:t>S.No</w:t>
            </w:r>
            <w:proofErr w:type="spellEnd"/>
          </w:p>
        </w:tc>
        <w:tc>
          <w:tcPr>
            <w:tcW w:w="4665" w:type="pct"/>
            <w:shd w:val="clear" w:color="auto" w:fill="91ADD7"/>
          </w:tcPr>
          <w:p w:rsidR="0097780E" w:rsidRPr="0097780E" w:rsidRDefault="0097780E" w:rsidP="00751888">
            <w:pPr>
              <w:pStyle w:val="12TableTitle"/>
              <w:cnfStyle w:val="100000000000" w:firstRow="1" w:lastRow="0" w:firstColumn="0" w:lastColumn="0" w:oddVBand="0" w:evenVBand="0" w:oddHBand="0" w:evenHBand="0" w:firstRowFirstColumn="0" w:firstRowLastColumn="0" w:lastRowFirstColumn="0" w:lastRowLastColumn="0"/>
              <w:rPr>
                <w:color w:val="000000"/>
                <w:sz w:val="18"/>
              </w:rPr>
            </w:pPr>
            <w:r w:rsidRPr="0097780E">
              <w:rPr>
                <w:color w:val="000000"/>
                <w:sz w:val="18"/>
              </w:rPr>
              <w:t xml:space="preserve">Trial </w:t>
            </w:r>
            <w:r w:rsidR="00751888">
              <w:rPr>
                <w:color w:val="000000"/>
                <w:sz w:val="18"/>
              </w:rPr>
              <w:t>Code</w:t>
            </w:r>
            <w:r w:rsidRPr="0097780E">
              <w:rPr>
                <w:color w:val="000000"/>
                <w:sz w:val="18"/>
              </w:rPr>
              <w:t>, Role, Trial Title, Sponsor, Collaborators, Trial Period, Phase</w:t>
            </w:r>
          </w:p>
        </w:tc>
      </w:tr>
      <w:tr w:rsidR="00DA4C4A" w:rsidTr="00DA4C4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DA4C4A" w:rsidRDefault="00971FA4">
            <w:r>
              <w:t>1</w:t>
            </w:r>
          </w:p>
        </w:tc>
        <w:tc>
          <w:tcPr>
            <w:tcW w:w="8934" w:type="dxa"/>
          </w:tcPr>
          <w:p w:rsidR="00DA4C4A" w:rsidRDefault="00971FA4">
            <w:pPr>
              <w:cnfStyle w:val="000000100000" w:firstRow="0" w:lastRow="0" w:firstColumn="0" w:lastColumn="0" w:oddVBand="0" w:evenVBand="0" w:oddHBand="1" w:evenHBand="0" w:firstRowFirstColumn="0" w:firstRowLastColumn="0" w:lastRowFirstColumn="0" w:lastRowLastColumn="0"/>
            </w:pPr>
            <w:r>
              <w:t>NCT06358638, Principal Investigator, Sickle Cell Disease Transplant Using a Nonmyeloablative Approach: Adding Daratumumab for Patients With Anti-donor Red Cell AntibodY, Children's National Resea</w:t>
            </w:r>
            <w:r>
              <w:t>rch Institute, Alberta Children's Hospital | Hospital for Sick Children | Atrium Health Levine Children's Hospital | Nationwide Children's Hospital | Children's Hospital at Montefiore | Doris Duke Charitable Foundation | Janssen Pharmaceuticals, Inc (3-Apr</w:t>
            </w:r>
            <w:r>
              <w:t>-2024 - Sep-2054), Phase II</w:t>
            </w:r>
          </w:p>
        </w:tc>
      </w:tr>
      <w:tr w:rsidR="00DA4C4A" w:rsidTr="00DA4C4A">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DA4C4A" w:rsidRDefault="00971FA4">
            <w:r>
              <w:t>2</w:t>
            </w:r>
          </w:p>
        </w:tc>
        <w:tc>
          <w:tcPr>
            <w:tcW w:w="8934" w:type="dxa"/>
          </w:tcPr>
          <w:p w:rsidR="00DA4C4A" w:rsidRDefault="00971FA4">
            <w:pPr>
              <w:cnfStyle w:val="000000010000" w:firstRow="0" w:lastRow="0" w:firstColumn="0" w:lastColumn="0" w:oddVBand="0" w:evenVBand="0" w:oddHBand="0" w:evenHBand="1" w:firstRowFirstColumn="0" w:firstRowLastColumn="0" w:lastRowFirstColumn="0" w:lastRowLastColumn="0"/>
            </w:pPr>
            <w:r>
              <w:t xml:space="preserve">NCT03619551, Study Chair, A Randomized Trial of Low Versus Moderate Exposure Busulfan for Infants with Severe Combined Immunodeficiency (SCID) Receiving TCRαβ+/CD19+ Depleted Transplantation: a Phase II Study by the </w:t>
            </w:r>
            <w:r>
              <w:lastRenderedPageBreak/>
              <w:t>Primary I</w:t>
            </w:r>
            <w:r>
              <w:t>mmune Deficiency Treatment Consortium (PIDTC) and Pediatric Blood and Marrow Transplant Consortium (PBMTC), Michael Pulsipher (22-Oct-2018 - 8-Jan-2030), Phase II</w:t>
            </w:r>
          </w:p>
        </w:tc>
      </w:tr>
      <w:tr w:rsidR="00DA4C4A" w:rsidTr="00DA4C4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DA4C4A" w:rsidRDefault="00971FA4">
            <w:r>
              <w:lastRenderedPageBreak/>
              <w:t>3</w:t>
            </w:r>
          </w:p>
        </w:tc>
        <w:tc>
          <w:tcPr>
            <w:tcW w:w="8934" w:type="dxa"/>
          </w:tcPr>
          <w:p w:rsidR="00DA4C4A" w:rsidRDefault="00971FA4">
            <w:pPr>
              <w:cnfStyle w:val="000000100000" w:firstRow="0" w:lastRow="0" w:firstColumn="0" w:lastColumn="0" w:oddVBand="0" w:evenVBand="0" w:oddHBand="1" w:evenHBand="0" w:firstRowFirstColumn="0" w:firstRowLastColumn="0" w:lastRowFirstColumn="0" w:lastRowLastColumn="0"/>
            </w:pPr>
            <w:r>
              <w:t>PMID: 38637498, Middle Author, Antiviral cellular therapy for enhancing T-cell reconstitut</w:t>
            </w:r>
            <w:r>
              <w:t>ion before or after hematopoietic stem cell transplantation (ACES): a two-arm, open label phase II interventional trial of pediatric patients with risk factor assessment, National Institutes of Health | National Cancer Institute (18-Apr-2024)</w:t>
            </w:r>
          </w:p>
        </w:tc>
      </w:tr>
      <w:tr w:rsidR="00DA4C4A" w:rsidTr="00DA4C4A">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DA4C4A" w:rsidRDefault="00971FA4">
            <w:r>
              <w:t>4</w:t>
            </w:r>
          </w:p>
        </w:tc>
        <w:tc>
          <w:tcPr>
            <w:tcW w:w="8934" w:type="dxa"/>
          </w:tcPr>
          <w:p w:rsidR="00DA4C4A" w:rsidRDefault="00971FA4">
            <w:pPr>
              <w:cnfStyle w:val="000000010000" w:firstRow="0" w:lastRow="0" w:firstColumn="0" w:lastColumn="0" w:oddVBand="0" w:evenVBand="0" w:oddHBand="0" w:evenHBand="1" w:firstRowFirstColumn="0" w:firstRowLastColumn="0" w:lastRowFirstColumn="0" w:lastRowLastColumn="0"/>
            </w:pPr>
            <w:r>
              <w:t>PMID: 3590</w:t>
            </w:r>
            <w:r>
              <w:t xml:space="preserve">7408, Middle Author, Haploidentical bone marrow transplantation in patients with relapsed or refractory severe aplastic anaemia in the USA (BMT CTN 1502): a multicentre, single-arm, phase 2 trial, US National Heart, Lung, and Blood Institute | US National </w:t>
            </w:r>
            <w:r>
              <w:t>Cancer Institute (Sep-2022)</w:t>
            </w:r>
          </w:p>
        </w:tc>
      </w:tr>
      <w:tr w:rsidR="00DA4C4A" w:rsidTr="00DA4C4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DA4C4A" w:rsidRDefault="00971FA4">
            <w:r>
              <w:t>5</w:t>
            </w:r>
          </w:p>
        </w:tc>
        <w:tc>
          <w:tcPr>
            <w:tcW w:w="8934" w:type="dxa"/>
          </w:tcPr>
          <w:p w:rsidR="00DA4C4A" w:rsidRDefault="00971FA4">
            <w:pPr>
              <w:cnfStyle w:val="000000100000" w:firstRow="0" w:lastRow="0" w:firstColumn="0" w:lastColumn="0" w:oddVBand="0" w:evenVBand="0" w:oddHBand="1" w:evenHBand="0" w:firstRowFirstColumn="0" w:firstRowLastColumn="0" w:lastRowFirstColumn="0" w:lastRowLastColumn="0"/>
            </w:pPr>
            <w:r>
              <w:t>PMID: 35671392, Middle Author, Outcomes following treatment for ADA-deficient severe combined immunodeficiency: a report from the PIDTC, National Institutes of Health | National Cancer Institute (18-Aug-2022)</w:t>
            </w:r>
          </w:p>
        </w:tc>
      </w:tr>
      <w:tr w:rsidR="00DA4C4A" w:rsidTr="00DA4C4A">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DA4C4A" w:rsidRDefault="00971FA4">
            <w:r>
              <w:t>6</w:t>
            </w:r>
          </w:p>
        </w:tc>
        <w:tc>
          <w:tcPr>
            <w:tcW w:w="8934" w:type="dxa"/>
          </w:tcPr>
          <w:p w:rsidR="00DA4C4A" w:rsidRDefault="00971FA4">
            <w:pPr>
              <w:cnfStyle w:val="000000010000" w:firstRow="0" w:lastRow="0" w:firstColumn="0" w:lastColumn="0" w:oddVBand="0" w:evenVBand="0" w:oddHBand="0" w:evenHBand="1" w:firstRowFirstColumn="0" w:firstRowLastColumn="0" w:lastRowFirstColumn="0" w:lastRowLastColumn="0"/>
            </w:pPr>
            <w:r>
              <w:t xml:space="preserve">PMID: </w:t>
            </w:r>
            <w:r>
              <w:t xml:space="preserve">30193840, Middle Author, The genetic landscape of severe combined immunodeficiency in the United States and Canada in the current era (2010-2018), National Institute of Allergy and Infectious Diseases | National Center for Advancing Translational Sciences </w:t>
            </w:r>
            <w:r>
              <w:t>| Office of Rare Diseases Research (Jan-2019)</w:t>
            </w:r>
          </w:p>
        </w:tc>
      </w:tr>
      <w:tr w:rsidR="00DA4C4A" w:rsidTr="00DA4C4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DA4C4A" w:rsidRDefault="00971FA4">
            <w:r>
              <w:t>7</w:t>
            </w:r>
          </w:p>
        </w:tc>
        <w:tc>
          <w:tcPr>
            <w:tcW w:w="8934" w:type="dxa"/>
          </w:tcPr>
          <w:p w:rsidR="00DA4C4A" w:rsidRDefault="00971FA4">
            <w:pPr>
              <w:cnfStyle w:val="000000100000" w:firstRow="0" w:lastRow="0" w:firstColumn="0" w:lastColumn="0" w:oddVBand="0" w:evenVBand="0" w:oddHBand="1" w:evenHBand="0" w:firstRowFirstColumn="0" w:firstRowLastColumn="0" w:lastRowFirstColumn="0" w:lastRowLastColumn="0"/>
            </w:pPr>
            <w:r>
              <w:t>PMID: 29728406, Middle Author, B-cell differentiation and IL-21 response in IL2RG/JAK3 SCID patients after hematopoietic stem cell transplantation, National Institute of Allergy and Infectious Diseases (28-J</w:t>
            </w:r>
            <w:r>
              <w:t>un-2018)</w:t>
            </w:r>
          </w:p>
        </w:tc>
      </w:tr>
    </w:tbl>
    <w:p w:rsidR="004947FF" w:rsidRDefault="004947FF" w:rsidP="00763471">
      <w:pPr>
        <w:spacing w:after="0" w:line="240" w:lineRule="auto"/>
        <w:rPr>
          <w:rFonts w:ascii="Arial" w:hAnsi="Arial" w:cs="Arial"/>
          <w:sz w:val="18"/>
          <w:szCs w:val="18"/>
        </w:rPr>
      </w:pPr>
    </w:p>
    <w:tbl>
      <w:tblPr>
        <w:tblStyle w:val="MediumShading1-Accent1"/>
        <w:tblW w:w="5000" w:type="pct"/>
        <w:tblLayout w:type="fixed"/>
        <w:tblLook w:val="04A0" w:firstRow="1" w:lastRow="0" w:firstColumn="1" w:lastColumn="0" w:noHBand="0" w:noVBand="1"/>
      </w:tblPr>
      <w:tblGrid>
        <w:gridCol w:w="642"/>
        <w:gridCol w:w="8934"/>
      </w:tblGrid>
      <w:tr w:rsidR="0097780E" w:rsidTr="0097780E">
        <w:trPr>
          <w:cnfStyle w:val="100000000000" w:firstRow="1" w:lastRow="0" w:firstColumn="0" w:lastColumn="0" w:oddVBand="0" w:evenVBand="0" w:oddHBand="0" w:evenHBand="0" w:firstRowFirstColumn="0" w:firstRowLastColumn="0" w:lastRowFirstColumn="0" w:lastRowLastColumn="0"/>
          <w:cantSplit/>
          <w:trHeight w:val="288"/>
          <w:tblHeader/>
        </w:trPr>
        <w:tc>
          <w:tcPr>
            <w:cnfStyle w:val="001000000000" w:firstRow="0" w:lastRow="0" w:firstColumn="1" w:lastColumn="0" w:oddVBand="0" w:evenVBand="0" w:oddHBand="0" w:evenHBand="0" w:firstRowFirstColumn="0" w:firstRowLastColumn="0" w:lastRowFirstColumn="0" w:lastRowLastColumn="0"/>
            <w:tcW w:w="5000" w:type="pct"/>
            <w:gridSpan w:val="2"/>
          </w:tcPr>
          <w:p w:rsidR="0097780E" w:rsidRDefault="00896285" w:rsidP="0097780E">
            <w:pPr>
              <w:pStyle w:val="11TableHeader"/>
              <w:rPr>
                <w:rFonts w:ascii="Arial" w:hAnsi="Arial" w:cs="Arial"/>
                <w:sz w:val="18"/>
                <w:szCs w:val="18"/>
              </w:rPr>
            </w:pPr>
            <w:r>
              <w:t>Research &amp; Clinical Group</w:t>
            </w:r>
          </w:p>
        </w:tc>
      </w:tr>
      <w:tr w:rsidR="0097780E" w:rsidTr="0097780E">
        <w:trPr>
          <w:cnfStyle w:val="100000000000" w:firstRow="1" w:lastRow="0" w:firstColumn="0" w:lastColumn="0" w:oddVBand="0" w:evenVBand="0" w:oddHBand="0" w:evenHBand="0" w:firstRowFirstColumn="0" w:firstRowLastColumn="0" w:lastRowFirstColumn="0" w:lastRowLastColumn="0"/>
          <w:cantSplit/>
          <w:trHeight w:val="288"/>
          <w:tblHeader/>
        </w:trPr>
        <w:tc>
          <w:tcPr>
            <w:cnfStyle w:val="001000000000" w:firstRow="0" w:lastRow="0" w:firstColumn="1" w:lastColumn="0" w:oddVBand="0" w:evenVBand="0" w:oddHBand="0" w:evenHBand="0" w:firstRowFirstColumn="0" w:firstRowLastColumn="0" w:lastRowFirstColumn="0" w:lastRowLastColumn="0"/>
            <w:tcW w:w="335" w:type="pct"/>
            <w:shd w:val="clear" w:color="auto" w:fill="91ADD7"/>
          </w:tcPr>
          <w:p w:rsidR="0097780E" w:rsidRPr="0097780E" w:rsidRDefault="0097780E" w:rsidP="0097780E">
            <w:pPr>
              <w:pStyle w:val="12TableTitle"/>
              <w:rPr>
                <w:color w:val="000000"/>
                <w:sz w:val="18"/>
              </w:rPr>
            </w:pPr>
            <w:proofErr w:type="spellStart"/>
            <w:r w:rsidRPr="0097780E">
              <w:rPr>
                <w:color w:val="000000"/>
                <w:sz w:val="18"/>
              </w:rPr>
              <w:t>S.No</w:t>
            </w:r>
            <w:proofErr w:type="spellEnd"/>
          </w:p>
        </w:tc>
        <w:tc>
          <w:tcPr>
            <w:tcW w:w="4665" w:type="pct"/>
            <w:shd w:val="clear" w:color="auto" w:fill="91ADD7"/>
          </w:tcPr>
          <w:p w:rsidR="0097780E" w:rsidRPr="0097780E" w:rsidRDefault="0097780E" w:rsidP="0097780E">
            <w:pPr>
              <w:pStyle w:val="12TableTitle"/>
              <w:cnfStyle w:val="100000000000" w:firstRow="1" w:lastRow="0" w:firstColumn="0" w:lastColumn="0" w:oddVBand="0" w:evenVBand="0" w:oddHBand="0" w:evenHBand="0" w:firstRowFirstColumn="0" w:firstRowLastColumn="0" w:lastRowFirstColumn="0" w:lastRowLastColumn="0"/>
              <w:rPr>
                <w:color w:val="000000"/>
                <w:sz w:val="18"/>
              </w:rPr>
            </w:pPr>
            <w:r w:rsidRPr="0097780E">
              <w:rPr>
                <w:color w:val="000000"/>
                <w:sz w:val="18"/>
                <w:u w:val="single"/>
              </w:rPr>
              <w:t>Role</w:t>
            </w:r>
            <w:r w:rsidRPr="00751888">
              <w:rPr>
                <w:color w:val="000000"/>
                <w:sz w:val="18"/>
              </w:rPr>
              <w:t>:</w:t>
            </w:r>
            <w:r w:rsidRPr="0097780E">
              <w:rPr>
                <w:color w:val="000000"/>
                <w:sz w:val="18"/>
              </w:rPr>
              <w:t xml:space="preserve"> Study Group</w:t>
            </w:r>
          </w:p>
        </w:tc>
      </w:tr>
      <w:tr w:rsidR="00DA4C4A" w:rsidTr="00DA4C4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DA4C4A" w:rsidRDefault="00971FA4">
            <w:r>
              <w:t>1</w:t>
            </w:r>
          </w:p>
        </w:tc>
        <w:tc>
          <w:tcPr>
            <w:tcW w:w="8934" w:type="dxa"/>
          </w:tcPr>
          <w:p w:rsidR="00DA4C4A" w:rsidRDefault="00971FA4">
            <w:pPr>
              <w:cnfStyle w:val="000000100000" w:firstRow="0" w:lastRow="0" w:firstColumn="0" w:lastColumn="0" w:oddVBand="0" w:evenVBand="0" w:oddHBand="1" w:evenHBand="0" w:firstRowFirstColumn="0" w:firstRowLastColumn="0" w:lastRowFirstColumn="0" w:lastRowLastColumn="0"/>
            </w:pPr>
            <w:r>
              <w:rPr>
                <w:u w:val="single"/>
              </w:rPr>
              <w:t>Member</w:t>
            </w:r>
            <w:r>
              <w:t>: Centralized Sequencing Program</w:t>
            </w:r>
          </w:p>
        </w:tc>
      </w:tr>
    </w:tbl>
    <w:p w:rsidR="00264CA1" w:rsidRDefault="00264CA1" w:rsidP="00763471">
      <w:pPr>
        <w:spacing w:after="0" w:line="240" w:lineRule="auto"/>
        <w:rPr>
          <w:rFonts w:ascii="Arial" w:hAnsi="Arial" w:cs="Arial"/>
          <w:sz w:val="18"/>
          <w:szCs w:val="18"/>
        </w:rPr>
      </w:pPr>
    </w:p>
    <w:p w:rsidR="006F56C0" w:rsidRDefault="006F56C0" w:rsidP="00763471">
      <w:pPr>
        <w:spacing w:after="0" w:line="240" w:lineRule="auto"/>
        <w:rPr>
          <w:rFonts w:ascii="Arial" w:hAnsi="Arial" w:cs="Arial"/>
          <w:sz w:val="18"/>
          <w:szCs w:val="18"/>
        </w:rPr>
      </w:pPr>
    </w:p>
    <w:p w:rsidR="00964A02" w:rsidRDefault="00964A02" w:rsidP="00763471">
      <w:pPr>
        <w:spacing w:after="0" w:line="240" w:lineRule="auto"/>
        <w:rPr>
          <w:rFonts w:ascii="Arial" w:hAnsi="Arial" w:cs="Arial"/>
          <w:sz w:val="18"/>
          <w:szCs w:val="18"/>
        </w:rPr>
      </w:pPr>
    </w:p>
    <w:tbl>
      <w:tblPr>
        <w:tblStyle w:val="MediumShading1-Accent1"/>
        <w:tblW w:w="5000" w:type="pct"/>
        <w:tblLayout w:type="fixed"/>
        <w:tblLook w:val="04A0" w:firstRow="1" w:lastRow="0" w:firstColumn="1" w:lastColumn="0" w:noHBand="0" w:noVBand="1"/>
      </w:tblPr>
      <w:tblGrid>
        <w:gridCol w:w="642"/>
        <w:gridCol w:w="8934"/>
      </w:tblGrid>
      <w:tr w:rsidR="0097780E" w:rsidTr="0097780E">
        <w:trPr>
          <w:cnfStyle w:val="100000000000" w:firstRow="1" w:lastRow="0" w:firstColumn="0" w:lastColumn="0" w:oddVBand="0" w:evenVBand="0" w:oddHBand="0" w:evenHBand="0" w:firstRowFirstColumn="0" w:firstRowLastColumn="0" w:lastRowFirstColumn="0" w:lastRowLastColumn="0"/>
          <w:cantSplit/>
          <w:trHeight w:val="288"/>
          <w:tblHeader/>
        </w:trPr>
        <w:tc>
          <w:tcPr>
            <w:cnfStyle w:val="001000000000" w:firstRow="0" w:lastRow="0" w:firstColumn="1" w:lastColumn="0" w:oddVBand="0" w:evenVBand="0" w:oddHBand="0" w:evenHBand="0" w:firstRowFirstColumn="0" w:firstRowLastColumn="0" w:lastRowFirstColumn="0" w:lastRowLastColumn="0"/>
            <w:tcW w:w="5000" w:type="pct"/>
            <w:gridSpan w:val="2"/>
          </w:tcPr>
          <w:p w:rsidR="0097780E" w:rsidRDefault="0097780E" w:rsidP="0097780E">
            <w:pPr>
              <w:pStyle w:val="11TableHeader"/>
              <w:rPr>
                <w:rFonts w:ascii="Arial" w:hAnsi="Arial" w:cs="Arial"/>
                <w:sz w:val="18"/>
                <w:szCs w:val="18"/>
              </w:rPr>
            </w:pPr>
            <w:r w:rsidRPr="0097780E">
              <w:t>Editorial Responsibility</w:t>
            </w:r>
          </w:p>
        </w:tc>
      </w:tr>
      <w:tr w:rsidR="0097780E" w:rsidTr="0097780E">
        <w:trPr>
          <w:cnfStyle w:val="100000000000" w:firstRow="1" w:lastRow="0" w:firstColumn="0" w:lastColumn="0" w:oddVBand="0" w:evenVBand="0" w:oddHBand="0" w:evenHBand="0" w:firstRowFirstColumn="0" w:firstRowLastColumn="0" w:lastRowFirstColumn="0" w:lastRowLastColumn="0"/>
          <w:cantSplit/>
          <w:trHeight w:val="288"/>
          <w:tblHeader/>
        </w:trPr>
        <w:tc>
          <w:tcPr>
            <w:cnfStyle w:val="001000000000" w:firstRow="0" w:lastRow="0" w:firstColumn="1" w:lastColumn="0" w:oddVBand="0" w:evenVBand="0" w:oddHBand="0" w:evenHBand="0" w:firstRowFirstColumn="0" w:firstRowLastColumn="0" w:lastRowFirstColumn="0" w:lastRowLastColumn="0"/>
            <w:tcW w:w="335" w:type="pct"/>
            <w:shd w:val="clear" w:color="auto" w:fill="91ADD7"/>
          </w:tcPr>
          <w:p w:rsidR="0097780E" w:rsidRPr="0097780E" w:rsidRDefault="0097780E" w:rsidP="0097780E">
            <w:pPr>
              <w:pStyle w:val="12TableTitle"/>
              <w:rPr>
                <w:color w:val="000000"/>
                <w:sz w:val="18"/>
              </w:rPr>
            </w:pPr>
            <w:proofErr w:type="spellStart"/>
            <w:r w:rsidRPr="0097780E">
              <w:rPr>
                <w:color w:val="000000"/>
                <w:sz w:val="18"/>
              </w:rPr>
              <w:t>S.No</w:t>
            </w:r>
            <w:proofErr w:type="spellEnd"/>
          </w:p>
        </w:tc>
        <w:tc>
          <w:tcPr>
            <w:tcW w:w="4665" w:type="pct"/>
            <w:shd w:val="clear" w:color="auto" w:fill="91ADD7"/>
          </w:tcPr>
          <w:p w:rsidR="0097780E" w:rsidRPr="0097780E" w:rsidRDefault="0097780E" w:rsidP="007B0ED5">
            <w:pPr>
              <w:pStyle w:val="12TableTitle"/>
              <w:cnfStyle w:val="100000000000" w:firstRow="1" w:lastRow="0" w:firstColumn="0" w:lastColumn="0" w:oddVBand="0" w:evenVBand="0" w:oddHBand="0" w:evenHBand="0" w:firstRowFirstColumn="0" w:firstRowLastColumn="0" w:lastRowFirstColumn="0" w:lastRowLastColumn="0"/>
              <w:rPr>
                <w:color w:val="000000"/>
                <w:sz w:val="18"/>
              </w:rPr>
            </w:pPr>
            <w:r w:rsidRPr="0097780E">
              <w:rPr>
                <w:color w:val="000000"/>
                <w:sz w:val="18"/>
                <w:u w:val="single"/>
              </w:rPr>
              <w:t>Role</w:t>
            </w:r>
            <w:r w:rsidRPr="00751888">
              <w:rPr>
                <w:color w:val="000000"/>
                <w:sz w:val="18"/>
              </w:rPr>
              <w:t>:</w:t>
            </w:r>
            <w:r w:rsidRPr="0097780E">
              <w:rPr>
                <w:color w:val="000000"/>
                <w:sz w:val="18"/>
              </w:rPr>
              <w:t xml:space="preserve"> Committee Name &amp; Editorial Board Name</w:t>
            </w:r>
            <w:r w:rsidR="004F244E">
              <w:rPr>
                <w:color w:val="000000"/>
                <w:sz w:val="18"/>
              </w:rPr>
              <w:t xml:space="preserve"> </w:t>
            </w:r>
            <w:r w:rsidRPr="0097780E">
              <w:rPr>
                <w:color w:val="000000"/>
                <w:sz w:val="18"/>
              </w:rPr>
              <w:t xml:space="preserve">(Start </w:t>
            </w:r>
            <w:r w:rsidR="007B0ED5">
              <w:rPr>
                <w:color w:val="000000"/>
                <w:sz w:val="18"/>
              </w:rPr>
              <w:t>Date</w:t>
            </w:r>
            <w:r w:rsidR="00C52BD3">
              <w:rPr>
                <w:color w:val="000000"/>
                <w:sz w:val="18"/>
              </w:rPr>
              <w:t xml:space="preserve"> </w:t>
            </w:r>
            <w:r w:rsidRPr="0097780E">
              <w:rPr>
                <w:color w:val="000000"/>
                <w:sz w:val="18"/>
              </w:rPr>
              <w:t>-</w:t>
            </w:r>
            <w:r w:rsidR="00C52BD3">
              <w:rPr>
                <w:color w:val="000000"/>
                <w:sz w:val="18"/>
              </w:rPr>
              <w:t xml:space="preserve"> </w:t>
            </w:r>
            <w:r w:rsidRPr="0097780E">
              <w:rPr>
                <w:color w:val="000000"/>
                <w:sz w:val="18"/>
              </w:rPr>
              <w:t xml:space="preserve">End </w:t>
            </w:r>
            <w:r w:rsidR="007B0ED5">
              <w:rPr>
                <w:color w:val="000000"/>
                <w:sz w:val="18"/>
              </w:rPr>
              <w:t>Date</w:t>
            </w:r>
            <w:r w:rsidRPr="0097780E">
              <w:rPr>
                <w:color w:val="000000"/>
                <w:sz w:val="18"/>
              </w:rPr>
              <w:t xml:space="preserve">) </w:t>
            </w:r>
          </w:p>
        </w:tc>
      </w:tr>
      <w:tr w:rsidR="00DA4C4A" w:rsidTr="00DA4C4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DA4C4A" w:rsidRDefault="00971FA4">
            <w:r>
              <w:t>1</w:t>
            </w:r>
          </w:p>
        </w:tc>
        <w:tc>
          <w:tcPr>
            <w:tcW w:w="8934" w:type="dxa"/>
          </w:tcPr>
          <w:p w:rsidR="00DA4C4A" w:rsidRDefault="00971FA4">
            <w:pPr>
              <w:cnfStyle w:val="000000100000" w:firstRow="0" w:lastRow="0" w:firstColumn="0" w:lastColumn="0" w:oddVBand="0" w:evenVBand="0" w:oddHBand="1" w:evenHBand="0" w:firstRowFirstColumn="0" w:firstRowLastColumn="0" w:lastRowFirstColumn="0" w:lastRowLastColumn="0"/>
            </w:pPr>
            <w:r>
              <w:rPr>
                <w:u w:val="single"/>
              </w:rPr>
              <w:t>Review Editor</w:t>
            </w:r>
            <w:r>
              <w:t xml:space="preserve">: Primary Immunodeficiencies, </w:t>
            </w:r>
            <w:r>
              <w:t>Frontiers in Immunology</w:t>
            </w:r>
          </w:p>
        </w:tc>
      </w:tr>
      <w:tr w:rsidR="00DA4C4A" w:rsidTr="00DA4C4A">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DA4C4A" w:rsidRDefault="00971FA4">
            <w:r>
              <w:t>2</w:t>
            </w:r>
          </w:p>
        </w:tc>
        <w:tc>
          <w:tcPr>
            <w:tcW w:w="8934" w:type="dxa"/>
          </w:tcPr>
          <w:p w:rsidR="00DA4C4A" w:rsidRDefault="00971FA4">
            <w:pPr>
              <w:cnfStyle w:val="000000010000" w:firstRow="0" w:lastRow="0" w:firstColumn="0" w:lastColumn="0" w:oddVBand="0" w:evenVBand="0" w:oddHBand="0" w:evenHBand="1" w:firstRowFirstColumn="0" w:firstRowLastColumn="0" w:lastRowFirstColumn="0" w:lastRowLastColumn="0"/>
            </w:pPr>
            <w:r>
              <w:rPr>
                <w:u w:val="single"/>
              </w:rPr>
              <w:t>Reviewer</w:t>
            </w:r>
            <w:r>
              <w:t>: Transplantation and Cellular Therapy (2024)</w:t>
            </w:r>
          </w:p>
        </w:tc>
      </w:tr>
      <w:tr w:rsidR="00DA4C4A" w:rsidTr="00DA4C4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DA4C4A" w:rsidRDefault="00971FA4">
            <w:r>
              <w:t>3</w:t>
            </w:r>
          </w:p>
        </w:tc>
        <w:tc>
          <w:tcPr>
            <w:tcW w:w="8934" w:type="dxa"/>
          </w:tcPr>
          <w:p w:rsidR="00DA4C4A" w:rsidRDefault="00971FA4">
            <w:pPr>
              <w:cnfStyle w:val="000000100000" w:firstRow="0" w:lastRow="0" w:firstColumn="0" w:lastColumn="0" w:oddVBand="0" w:evenVBand="0" w:oddHBand="1" w:evenHBand="0" w:firstRowFirstColumn="0" w:firstRowLastColumn="0" w:lastRowFirstColumn="0" w:lastRowLastColumn="0"/>
            </w:pPr>
            <w:r>
              <w:rPr>
                <w:u w:val="single"/>
              </w:rPr>
              <w:t>Reviewer</w:t>
            </w:r>
            <w:r>
              <w:t>: Blood Advances (2023)</w:t>
            </w:r>
          </w:p>
        </w:tc>
      </w:tr>
      <w:tr w:rsidR="00DA4C4A" w:rsidTr="00DA4C4A">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DA4C4A" w:rsidRDefault="00971FA4">
            <w:r>
              <w:t>4</w:t>
            </w:r>
          </w:p>
        </w:tc>
        <w:tc>
          <w:tcPr>
            <w:tcW w:w="8934" w:type="dxa"/>
          </w:tcPr>
          <w:p w:rsidR="00DA4C4A" w:rsidRDefault="00971FA4">
            <w:pPr>
              <w:cnfStyle w:val="000000010000" w:firstRow="0" w:lastRow="0" w:firstColumn="0" w:lastColumn="0" w:oddVBand="0" w:evenVBand="0" w:oddHBand="0" w:evenHBand="1" w:firstRowFirstColumn="0" w:firstRowLastColumn="0" w:lastRowFirstColumn="0" w:lastRowLastColumn="0"/>
            </w:pPr>
            <w:r>
              <w:rPr>
                <w:u w:val="single"/>
              </w:rPr>
              <w:t>Reviewer</w:t>
            </w:r>
            <w:r>
              <w:t>: Blood (2019)</w:t>
            </w:r>
          </w:p>
        </w:tc>
      </w:tr>
    </w:tbl>
    <w:p w:rsidR="00BF2A68" w:rsidRDefault="00BF2A68" w:rsidP="00763471">
      <w:pPr>
        <w:spacing w:after="0" w:line="240" w:lineRule="auto"/>
        <w:rPr>
          <w:rFonts w:ascii="Arial" w:hAnsi="Arial" w:cs="Arial"/>
          <w:sz w:val="18"/>
          <w:szCs w:val="18"/>
        </w:rPr>
      </w:pPr>
    </w:p>
    <w:tbl>
      <w:tblPr>
        <w:tblStyle w:val="MediumShading1-Accent1"/>
        <w:tblW w:w="5000" w:type="pct"/>
        <w:tblLayout w:type="fixed"/>
        <w:tblLook w:val="04A0" w:firstRow="1" w:lastRow="0" w:firstColumn="1" w:lastColumn="0" w:noHBand="0" w:noVBand="1"/>
      </w:tblPr>
      <w:tblGrid>
        <w:gridCol w:w="642"/>
        <w:gridCol w:w="8934"/>
      </w:tblGrid>
      <w:tr w:rsidR="0097780E" w:rsidTr="0097780E">
        <w:trPr>
          <w:cnfStyle w:val="100000000000" w:firstRow="1" w:lastRow="0" w:firstColumn="0" w:lastColumn="0" w:oddVBand="0" w:evenVBand="0" w:oddHBand="0" w:evenHBand="0" w:firstRowFirstColumn="0" w:firstRowLastColumn="0" w:lastRowFirstColumn="0" w:lastRowLastColumn="0"/>
          <w:cantSplit/>
          <w:trHeight w:val="288"/>
          <w:tblHeader/>
        </w:trPr>
        <w:tc>
          <w:tcPr>
            <w:cnfStyle w:val="001000000000" w:firstRow="0" w:lastRow="0" w:firstColumn="1" w:lastColumn="0" w:oddVBand="0" w:evenVBand="0" w:oddHBand="0" w:evenHBand="0" w:firstRowFirstColumn="0" w:firstRowLastColumn="0" w:lastRowFirstColumn="0" w:lastRowLastColumn="0"/>
            <w:tcW w:w="5000" w:type="pct"/>
            <w:gridSpan w:val="2"/>
          </w:tcPr>
          <w:p w:rsidR="0097780E" w:rsidRDefault="0097780E" w:rsidP="0097780E">
            <w:pPr>
              <w:pStyle w:val="11TableHeader"/>
              <w:rPr>
                <w:rFonts w:ascii="Arial" w:hAnsi="Arial" w:cs="Arial"/>
                <w:sz w:val="18"/>
                <w:szCs w:val="18"/>
              </w:rPr>
            </w:pPr>
            <w:r w:rsidRPr="0097780E">
              <w:t>Presentations</w:t>
            </w:r>
          </w:p>
        </w:tc>
      </w:tr>
      <w:tr w:rsidR="0097780E" w:rsidTr="0097780E">
        <w:trPr>
          <w:cnfStyle w:val="100000000000" w:firstRow="1" w:lastRow="0" w:firstColumn="0" w:lastColumn="0" w:oddVBand="0" w:evenVBand="0" w:oddHBand="0" w:evenHBand="0" w:firstRowFirstColumn="0" w:firstRowLastColumn="0" w:lastRowFirstColumn="0" w:lastRowLastColumn="0"/>
          <w:cantSplit/>
          <w:trHeight w:val="288"/>
          <w:tblHeader/>
        </w:trPr>
        <w:tc>
          <w:tcPr>
            <w:cnfStyle w:val="001000000000" w:firstRow="0" w:lastRow="0" w:firstColumn="1" w:lastColumn="0" w:oddVBand="0" w:evenVBand="0" w:oddHBand="0" w:evenHBand="0" w:firstRowFirstColumn="0" w:firstRowLastColumn="0" w:lastRowFirstColumn="0" w:lastRowLastColumn="0"/>
            <w:tcW w:w="335" w:type="pct"/>
            <w:shd w:val="clear" w:color="auto" w:fill="91ADD7"/>
          </w:tcPr>
          <w:p w:rsidR="0097780E" w:rsidRPr="0097780E" w:rsidRDefault="0097780E" w:rsidP="0097780E">
            <w:pPr>
              <w:pStyle w:val="12TableTitle"/>
              <w:rPr>
                <w:color w:val="000000"/>
                <w:sz w:val="18"/>
              </w:rPr>
            </w:pPr>
            <w:proofErr w:type="spellStart"/>
            <w:r w:rsidRPr="0097780E">
              <w:rPr>
                <w:color w:val="000000"/>
                <w:sz w:val="18"/>
              </w:rPr>
              <w:t>S.No</w:t>
            </w:r>
            <w:proofErr w:type="spellEnd"/>
          </w:p>
        </w:tc>
        <w:tc>
          <w:tcPr>
            <w:tcW w:w="4665" w:type="pct"/>
            <w:shd w:val="clear" w:color="auto" w:fill="91ADD7"/>
          </w:tcPr>
          <w:p w:rsidR="0097780E" w:rsidRPr="0097780E" w:rsidRDefault="0097780E" w:rsidP="0097780E">
            <w:pPr>
              <w:pStyle w:val="12TableTitle"/>
              <w:cnfStyle w:val="100000000000" w:firstRow="1" w:lastRow="0" w:firstColumn="0" w:lastColumn="0" w:oddVBand="0" w:evenVBand="0" w:oddHBand="0" w:evenHBand="0" w:firstRowFirstColumn="0" w:firstRowLastColumn="0" w:lastRowFirstColumn="0" w:lastRowLastColumn="0"/>
              <w:rPr>
                <w:color w:val="000000"/>
                <w:sz w:val="18"/>
              </w:rPr>
            </w:pPr>
            <w:r w:rsidRPr="0097780E">
              <w:rPr>
                <w:color w:val="000000"/>
                <w:sz w:val="18"/>
              </w:rPr>
              <w:t>Event Name, Title, Ro</w:t>
            </w:r>
            <w:r w:rsidR="009112CB">
              <w:rPr>
                <w:color w:val="000000"/>
                <w:sz w:val="18"/>
              </w:rPr>
              <w:t>le, Participation Date, City, State</w:t>
            </w:r>
            <w:r w:rsidR="002D522D">
              <w:rPr>
                <w:color w:val="000000"/>
                <w:sz w:val="18"/>
              </w:rPr>
              <w:t>, Country</w:t>
            </w:r>
          </w:p>
        </w:tc>
      </w:tr>
      <w:tr w:rsidR="00DA4C4A" w:rsidTr="00DA4C4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DA4C4A" w:rsidRDefault="00971FA4">
            <w:r>
              <w:t>1</w:t>
            </w:r>
          </w:p>
        </w:tc>
        <w:tc>
          <w:tcPr>
            <w:tcW w:w="8934" w:type="dxa"/>
          </w:tcPr>
          <w:p w:rsidR="00DA4C4A" w:rsidRDefault="00971FA4">
            <w:pPr>
              <w:cnfStyle w:val="000000100000" w:firstRow="0" w:lastRow="0" w:firstColumn="0" w:lastColumn="0" w:oddVBand="0" w:evenVBand="0" w:oddHBand="1" w:evenHBand="0" w:firstRowFirstColumn="0" w:firstRowLastColumn="0" w:lastRowFirstColumn="0" w:lastRowLastColumn="0"/>
            </w:pPr>
            <w:r>
              <w:t xml:space="preserve">2025 - Tandem Meeting </w:t>
            </w:r>
            <w:r>
              <w:t>of American Society for Transplantation and Cellular Therapy and Center for International Blood and Marrow Transplant Research, Hematopoietic Cell Transplantation for Wiskott-Aldrich Syndrome - Impact of Age, Donor, and Infection: A Pidtc Report, Presenter</w:t>
            </w:r>
            <w:r>
              <w:t>, 13-Feb-2025, Honolulu, Hawaii, United States of America</w:t>
            </w:r>
          </w:p>
        </w:tc>
      </w:tr>
      <w:tr w:rsidR="00DA4C4A" w:rsidTr="00DA4C4A">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DA4C4A" w:rsidRDefault="00971FA4">
            <w:r>
              <w:t>2</w:t>
            </w:r>
          </w:p>
        </w:tc>
        <w:tc>
          <w:tcPr>
            <w:tcW w:w="8934" w:type="dxa"/>
          </w:tcPr>
          <w:p w:rsidR="00DA4C4A" w:rsidRDefault="00971FA4">
            <w:pPr>
              <w:cnfStyle w:val="000000010000" w:firstRow="0" w:lastRow="0" w:firstColumn="0" w:lastColumn="0" w:oddVBand="0" w:evenVBand="0" w:oddHBand="0" w:evenHBand="1" w:firstRowFirstColumn="0" w:firstRowLastColumn="0" w:lastRowFirstColumn="0" w:lastRowLastColumn="0"/>
            </w:pPr>
            <w:r>
              <w:t>2024 - Tandem Meeting of American Society for Transplantation and Cellular Therapy and Center for International Blood and Marrow Transplant Research, Organ Dysfunction and Immunity, Presenter, 20</w:t>
            </w:r>
            <w:r>
              <w:t>-Feb-2024, San Antonio, Texas, United States of America</w:t>
            </w:r>
          </w:p>
        </w:tc>
      </w:tr>
      <w:tr w:rsidR="00DA4C4A" w:rsidTr="00DA4C4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DA4C4A" w:rsidRDefault="00971FA4">
            <w:r>
              <w:t>3</w:t>
            </w:r>
          </w:p>
        </w:tc>
        <w:tc>
          <w:tcPr>
            <w:tcW w:w="8934" w:type="dxa"/>
          </w:tcPr>
          <w:p w:rsidR="00DA4C4A" w:rsidRDefault="00971FA4">
            <w:pPr>
              <w:cnfStyle w:val="000000100000" w:firstRow="0" w:lastRow="0" w:firstColumn="0" w:lastColumn="0" w:oddVBand="0" w:evenVBand="0" w:oddHBand="1" w:evenHBand="0" w:firstRowFirstColumn="0" w:firstRowLastColumn="0" w:lastRowFirstColumn="0" w:lastRowLastColumn="0"/>
            </w:pPr>
            <w:r>
              <w:t>2023 - Tandem Meeting of American Society for Transplantation and Cellular Therapy and Center for International Blood and Marrow Transplant Research, Transplant Approaches for Bone Marrow Failure S</w:t>
            </w:r>
            <w:r>
              <w:t>yndromes, Session Chair, 16-Feb-2023, Orlando, Florida, United States of America</w:t>
            </w:r>
          </w:p>
        </w:tc>
      </w:tr>
    </w:tbl>
    <w:p w:rsidR="00016510" w:rsidRDefault="00016510" w:rsidP="00763471">
      <w:pPr>
        <w:spacing w:after="0" w:line="240" w:lineRule="auto"/>
        <w:rPr>
          <w:rFonts w:ascii="Arial" w:hAnsi="Arial" w:cs="Arial"/>
          <w:sz w:val="18"/>
          <w:szCs w:val="18"/>
        </w:rPr>
      </w:pPr>
    </w:p>
    <w:tbl>
      <w:tblPr>
        <w:tblStyle w:val="MediumShading1-Accent1"/>
        <w:tblW w:w="5000" w:type="pct"/>
        <w:tblLayout w:type="fixed"/>
        <w:tblLook w:val="04A0" w:firstRow="1" w:lastRow="0" w:firstColumn="1" w:lastColumn="0" w:noHBand="0" w:noVBand="1"/>
      </w:tblPr>
      <w:tblGrid>
        <w:gridCol w:w="642"/>
        <w:gridCol w:w="8934"/>
      </w:tblGrid>
      <w:tr w:rsidR="0097780E" w:rsidTr="0097780E">
        <w:trPr>
          <w:cnfStyle w:val="100000000000" w:firstRow="1" w:lastRow="0" w:firstColumn="0" w:lastColumn="0" w:oddVBand="0" w:evenVBand="0" w:oddHBand="0" w:evenHBand="0" w:firstRowFirstColumn="0" w:firstRowLastColumn="0" w:lastRowFirstColumn="0" w:lastRowLastColumn="0"/>
          <w:cantSplit/>
          <w:trHeight w:val="288"/>
          <w:tblHeader/>
        </w:trPr>
        <w:tc>
          <w:tcPr>
            <w:cnfStyle w:val="001000000000" w:firstRow="0" w:lastRow="0" w:firstColumn="1" w:lastColumn="0" w:oddVBand="0" w:evenVBand="0" w:oddHBand="0" w:evenHBand="0" w:firstRowFirstColumn="0" w:firstRowLastColumn="0" w:lastRowFirstColumn="0" w:lastRowLastColumn="0"/>
            <w:tcW w:w="5000" w:type="pct"/>
            <w:gridSpan w:val="2"/>
          </w:tcPr>
          <w:p w:rsidR="0097780E" w:rsidRDefault="0097780E" w:rsidP="0097780E">
            <w:pPr>
              <w:pStyle w:val="11TableHeader"/>
              <w:rPr>
                <w:rFonts w:ascii="Arial" w:hAnsi="Arial" w:cs="Arial"/>
                <w:sz w:val="18"/>
                <w:szCs w:val="18"/>
              </w:rPr>
            </w:pPr>
            <w:r w:rsidRPr="0097780E">
              <w:t>Society, Association &amp; Non-Government Organizations</w:t>
            </w:r>
          </w:p>
        </w:tc>
      </w:tr>
      <w:tr w:rsidR="0097780E" w:rsidTr="0097780E">
        <w:trPr>
          <w:cnfStyle w:val="100000000000" w:firstRow="1" w:lastRow="0" w:firstColumn="0" w:lastColumn="0" w:oddVBand="0" w:evenVBand="0" w:oddHBand="0" w:evenHBand="0" w:firstRowFirstColumn="0" w:firstRowLastColumn="0" w:lastRowFirstColumn="0" w:lastRowLastColumn="0"/>
          <w:cantSplit/>
          <w:trHeight w:val="288"/>
          <w:tblHeader/>
        </w:trPr>
        <w:tc>
          <w:tcPr>
            <w:cnfStyle w:val="001000000000" w:firstRow="0" w:lastRow="0" w:firstColumn="1" w:lastColumn="0" w:oddVBand="0" w:evenVBand="0" w:oddHBand="0" w:evenHBand="0" w:firstRowFirstColumn="0" w:firstRowLastColumn="0" w:lastRowFirstColumn="0" w:lastRowLastColumn="0"/>
            <w:tcW w:w="335" w:type="pct"/>
            <w:shd w:val="clear" w:color="auto" w:fill="91ADD7"/>
          </w:tcPr>
          <w:p w:rsidR="0097780E" w:rsidRPr="0097780E" w:rsidRDefault="0097780E" w:rsidP="0097780E">
            <w:pPr>
              <w:pStyle w:val="12TableTitle"/>
              <w:rPr>
                <w:color w:val="000000"/>
                <w:sz w:val="18"/>
              </w:rPr>
            </w:pPr>
            <w:proofErr w:type="spellStart"/>
            <w:r w:rsidRPr="0097780E">
              <w:rPr>
                <w:color w:val="000000"/>
                <w:sz w:val="18"/>
              </w:rPr>
              <w:t>S.No</w:t>
            </w:r>
            <w:proofErr w:type="spellEnd"/>
          </w:p>
        </w:tc>
        <w:tc>
          <w:tcPr>
            <w:tcW w:w="4665" w:type="pct"/>
            <w:shd w:val="clear" w:color="auto" w:fill="91ADD7"/>
          </w:tcPr>
          <w:p w:rsidR="0097780E" w:rsidRPr="0097780E" w:rsidRDefault="0097780E" w:rsidP="00E9729C">
            <w:pPr>
              <w:pStyle w:val="12TableTitle"/>
              <w:cnfStyle w:val="100000000000" w:firstRow="1" w:lastRow="0" w:firstColumn="0" w:lastColumn="0" w:oddVBand="0" w:evenVBand="0" w:oddHBand="0" w:evenHBand="0" w:firstRowFirstColumn="0" w:firstRowLastColumn="0" w:lastRowFirstColumn="0" w:lastRowLastColumn="0"/>
              <w:rPr>
                <w:color w:val="000000"/>
                <w:sz w:val="18"/>
              </w:rPr>
            </w:pPr>
            <w:r w:rsidRPr="0097780E">
              <w:rPr>
                <w:color w:val="000000"/>
                <w:sz w:val="18"/>
                <w:u w:val="single"/>
              </w:rPr>
              <w:t>Role</w:t>
            </w:r>
            <w:r w:rsidRPr="00751888">
              <w:rPr>
                <w:color w:val="000000"/>
                <w:sz w:val="18"/>
              </w:rPr>
              <w:t xml:space="preserve">: </w:t>
            </w:r>
            <w:r w:rsidRPr="0097780E">
              <w:rPr>
                <w:color w:val="000000"/>
                <w:sz w:val="18"/>
              </w:rPr>
              <w:t>Committee &amp; Organization</w:t>
            </w:r>
            <w:r w:rsidR="00EF5C3F">
              <w:rPr>
                <w:color w:val="000000"/>
                <w:sz w:val="18"/>
              </w:rPr>
              <w:t xml:space="preserve"> </w:t>
            </w:r>
            <w:r w:rsidRPr="0097780E">
              <w:rPr>
                <w:color w:val="000000"/>
                <w:sz w:val="18"/>
              </w:rPr>
              <w:t xml:space="preserve">(Start </w:t>
            </w:r>
            <w:r w:rsidR="00E9729C">
              <w:rPr>
                <w:color w:val="000000"/>
                <w:sz w:val="18"/>
              </w:rPr>
              <w:t>Date</w:t>
            </w:r>
            <w:r w:rsidRPr="0097780E">
              <w:rPr>
                <w:color w:val="000000"/>
                <w:sz w:val="18"/>
              </w:rPr>
              <w:t xml:space="preserve"> - End </w:t>
            </w:r>
            <w:r w:rsidR="00E9729C">
              <w:rPr>
                <w:color w:val="000000"/>
                <w:sz w:val="18"/>
              </w:rPr>
              <w:t>Date</w:t>
            </w:r>
            <w:r w:rsidRPr="0097780E">
              <w:rPr>
                <w:color w:val="000000"/>
                <w:sz w:val="18"/>
              </w:rPr>
              <w:t>)</w:t>
            </w:r>
          </w:p>
        </w:tc>
      </w:tr>
      <w:tr w:rsidR="00DA4C4A" w:rsidTr="00DA4C4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DA4C4A" w:rsidRDefault="00971FA4">
            <w:r>
              <w:t>1</w:t>
            </w:r>
          </w:p>
        </w:tc>
        <w:tc>
          <w:tcPr>
            <w:tcW w:w="8934" w:type="dxa"/>
          </w:tcPr>
          <w:p w:rsidR="00DA4C4A" w:rsidRDefault="00971FA4">
            <w:pPr>
              <w:cnfStyle w:val="000000100000" w:firstRow="0" w:lastRow="0" w:firstColumn="0" w:lastColumn="0" w:oddVBand="0" w:evenVBand="0" w:oddHBand="1" w:evenHBand="0" w:firstRowFirstColumn="0" w:firstRowLastColumn="0" w:lastRowFirstColumn="0" w:lastRowLastColumn="0"/>
            </w:pPr>
            <w:r>
              <w:rPr>
                <w:u w:val="single"/>
              </w:rPr>
              <w:t>Member</w:t>
            </w:r>
            <w:r>
              <w:t xml:space="preserve">: Diversity, Equity, and Inclusion, American </w:t>
            </w:r>
            <w:r>
              <w:t>Society of Hematology (2025)</w:t>
            </w:r>
          </w:p>
        </w:tc>
      </w:tr>
      <w:tr w:rsidR="00DA4C4A" w:rsidTr="00DA4C4A">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DA4C4A" w:rsidRDefault="00971FA4">
            <w:r>
              <w:t>2</w:t>
            </w:r>
          </w:p>
        </w:tc>
        <w:tc>
          <w:tcPr>
            <w:tcW w:w="8934" w:type="dxa"/>
          </w:tcPr>
          <w:p w:rsidR="00DA4C4A" w:rsidRDefault="00971FA4">
            <w:pPr>
              <w:cnfStyle w:val="000000010000" w:firstRow="0" w:lastRow="0" w:firstColumn="0" w:lastColumn="0" w:oddVBand="0" w:evenVBand="0" w:oddHBand="0" w:evenHBand="1" w:firstRowFirstColumn="0" w:firstRowLastColumn="0" w:lastRowFirstColumn="0" w:lastRowLastColumn="0"/>
            </w:pPr>
            <w:r>
              <w:rPr>
                <w:u w:val="single"/>
              </w:rPr>
              <w:t>Vice Chair</w:t>
            </w:r>
            <w:r>
              <w:t>: DEI Programs Subcommittee, American Society of Hematology</w:t>
            </w:r>
          </w:p>
        </w:tc>
      </w:tr>
      <w:tr w:rsidR="00DA4C4A" w:rsidTr="00DA4C4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DA4C4A" w:rsidRDefault="00971FA4">
            <w:r>
              <w:t>3</w:t>
            </w:r>
          </w:p>
        </w:tc>
        <w:tc>
          <w:tcPr>
            <w:tcW w:w="8934" w:type="dxa"/>
          </w:tcPr>
          <w:p w:rsidR="00DA4C4A" w:rsidRDefault="00971FA4">
            <w:pPr>
              <w:cnfStyle w:val="000000100000" w:firstRow="0" w:lastRow="0" w:firstColumn="0" w:lastColumn="0" w:oddVBand="0" w:evenVBand="0" w:oddHBand="1" w:evenHBand="0" w:firstRowFirstColumn="0" w:firstRowLastColumn="0" w:lastRowFirstColumn="0" w:lastRowLastColumn="0"/>
            </w:pPr>
            <w:r>
              <w:rPr>
                <w:u w:val="single"/>
              </w:rPr>
              <w:t>Co-Chair</w:t>
            </w:r>
            <w:r>
              <w:t>: Diversity &amp; Inclusion (D&amp;I) Committee, Clinical Immunology Society</w:t>
            </w:r>
          </w:p>
        </w:tc>
      </w:tr>
      <w:tr w:rsidR="00DA4C4A" w:rsidTr="00DA4C4A">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DA4C4A" w:rsidRDefault="00971FA4">
            <w:r>
              <w:t>4</w:t>
            </w:r>
          </w:p>
        </w:tc>
        <w:tc>
          <w:tcPr>
            <w:tcW w:w="8934" w:type="dxa"/>
          </w:tcPr>
          <w:p w:rsidR="00DA4C4A" w:rsidRDefault="00971FA4">
            <w:pPr>
              <w:cnfStyle w:val="000000010000" w:firstRow="0" w:lastRow="0" w:firstColumn="0" w:lastColumn="0" w:oddVBand="0" w:evenVBand="0" w:oddHBand="0" w:evenHBand="1" w:firstRowFirstColumn="0" w:firstRowLastColumn="0" w:lastRowFirstColumn="0" w:lastRowLastColumn="0"/>
            </w:pPr>
            <w:r>
              <w:rPr>
                <w:u w:val="single"/>
              </w:rPr>
              <w:t>Member</w:t>
            </w:r>
            <w:r>
              <w:t>: Primary Immune Deficiency Treatment Consortium</w:t>
            </w:r>
          </w:p>
        </w:tc>
      </w:tr>
      <w:tr w:rsidR="00DA4C4A" w:rsidTr="00DA4C4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DA4C4A" w:rsidRDefault="00971FA4">
            <w:r>
              <w:t>5</w:t>
            </w:r>
          </w:p>
        </w:tc>
        <w:tc>
          <w:tcPr>
            <w:tcW w:w="8934" w:type="dxa"/>
          </w:tcPr>
          <w:p w:rsidR="00DA4C4A" w:rsidRDefault="00971FA4">
            <w:pPr>
              <w:cnfStyle w:val="000000100000" w:firstRow="0" w:lastRow="0" w:firstColumn="0" w:lastColumn="0" w:oddVBand="0" w:evenVBand="0" w:oddHBand="1" w:evenHBand="0" w:firstRowFirstColumn="0" w:firstRowLastColumn="0" w:lastRowFirstColumn="0" w:lastRowLastColumn="0"/>
            </w:pPr>
            <w:r>
              <w:rPr>
                <w:u w:val="single"/>
              </w:rPr>
              <w:t>Volunteer</w:t>
            </w:r>
            <w:r>
              <w:t xml:space="preserve">: </w:t>
            </w:r>
            <w:r>
              <w:t>The American Society of Pediatric Hematology/Oncology (2022 - 2023)</w:t>
            </w:r>
          </w:p>
        </w:tc>
      </w:tr>
    </w:tbl>
    <w:p w:rsidR="00164ED9" w:rsidRDefault="00164ED9" w:rsidP="00763471">
      <w:pPr>
        <w:spacing w:after="0" w:line="240" w:lineRule="auto"/>
        <w:rPr>
          <w:rFonts w:ascii="Arial" w:hAnsi="Arial" w:cs="Arial"/>
          <w:sz w:val="18"/>
          <w:szCs w:val="18"/>
        </w:rPr>
      </w:pPr>
    </w:p>
    <w:tbl>
      <w:tblPr>
        <w:tblStyle w:val="MediumShading1-Accent1"/>
        <w:tblW w:w="5000" w:type="pct"/>
        <w:tblLayout w:type="fixed"/>
        <w:tblLook w:val="04A0" w:firstRow="1" w:lastRow="0" w:firstColumn="1" w:lastColumn="0" w:noHBand="0" w:noVBand="1"/>
      </w:tblPr>
      <w:tblGrid>
        <w:gridCol w:w="576"/>
        <w:gridCol w:w="2593"/>
        <w:gridCol w:w="2250"/>
        <w:gridCol w:w="2292"/>
        <w:gridCol w:w="948"/>
        <w:gridCol w:w="917"/>
      </w:tblGrid>
      <w:tr w:rsidR="00E87BEF" w:rsidTr="00E87BEF">
        <w:trPr>
          <w:cnfStyle w:val="100000000000" w:firstRow="1" w:lastRow="0" w:firstColumn="0" w:lastColumn="0" w:oddVBand="0" w:evenVBand="0" w:oddHBand="0" w:evenHBand="0" w:firstRowFirstColumn="0" w:firstRowLastColumn="0" w:lastRowFirstColumn="0" w:lastRowLastColumn="0"/>
          <w:cantSplit/>
          <w:trHeight w:val="288"/>
          <w:tblHeader/>
        </w:trPr>
        <w:tc>
          <w:tcPr>
            <w:cnfStyle w:val="001000000000" w:firstRow="0" w:lastRow="0" w:firstColumn="1" w:lastColumn="0" w:oddVBand="0" w:evenVBand="0" w:oddHBand="0" w:evenHBand="0" w:firstRowFirstColumn="0" w:firstRowLastColumn="0" w:lastRowFirstColumn="0" w:lastRowLastColumn="0"/>
            <w:tcW w:w="5000" w:type="pct"/>
            <w:gridSpan w:val="6"/>
          </w:tcPr>
          <w:p w:rsidR="00E87BEF" w:rsidRPr="00766F94" w:rsidRDefault="00E87BEF" w:rsidP="0055394F">
            <w:pPr>
              <w:pStyle w:val="11TableHeader"/>
              <w:rPr>
                <w:rFonts w:asciiTheme="minorHAnsi" w:hAnsiTheme="minorHAnsi" w:cstheme="minorHAnsi"/>
              </w:rPr>
            </w:pPr>
            <w:r w:rsidRPr="00766F94">
              <w:rPr>
                <w:rFonts w:asciiTheme="minorHAnsi" w:hAnsiTheme="minorHAnsi" w:cstheme="minorHAnsi"/>
              </w:rPr>
              <w:t>Industry Affiliations</w:t>
            </w:r>
          </w:p>
        </w:tc>
      </w:tr>
      <w:tr w:rsidR="00E87BEF" w:rsidTr="00E87BEF">
        <w:trPr>
          <w:cnfStyle w:val="100000000000" w:firstRow="1" w:lastRow="0" w:firstColumn="0" w:lastColumn="0" w:oddVBand="0" w:evenVBand="0" w:oddHBand="0" w:evenHBand="0" w:firstRowFirstColumn="0" w:firstRowLastColumn="0" w:lastRowFirstColumn="0" w:lastRowLastColumn="0"/>
          <w:cantSplit/>
          <w:trHeight w:val="305"/>
          <w:tblHeader/>
        </w:trPr>
        <w:tc>
          <w:tcPr>
            <w:cnfStyle w:val="001000000000" w:firstRow="0" w:lastRow="0" w:firstColumn="1" w:lastColumn="0" w:oddVBand="0" w:evenVBand="0" w:oddHBand="0" w:evenHBand="0" w:firstRowFirstColumn="0" w:firstRowLastColumn="0" w:lastRowFirstColumn="0" w:lastRowLastColumn="0"/>
            <w:tcW w:w="300" w:type="pct"/>
            <w:shd w:val="clear" w:color="auto" w:fill="91ADD7"/>
          </w:tcPr>
          <w:p w:rsidR="00E87BEF" w:rsidRPr="0097780E" w:rsidRDefault="00E87BEF" w:rsidP="0055394F">
            <w:pPr>
              <w:pStyle w:val="11TableHeader"/>
              <w:jc w:val="center"/>
              <w:rPr>
                <w:color w:val="000000"/>
                <w:sz w:val="18"/>
              </w:rPr>
            </w:pPr>
            <w:proofErr w:type="spellStart"/>
            <w:r w:rsidRPr="0097780E">
              <w:rPr>
                <w:color w:val="000000"/>
                <w:sz w:val="18"/>
              </w:rPr>
              <w:t>S.No</w:t>
            </w:r>
            <w:proofErr w:type="spellEnd"/>
          </w:p>
        </w:tc>
        <w:tc>
          <w:tcPr>
            <w:tcW w:w="1354" w:type="pct"/>
            <w:shd w:val="clear" w:color="auto" w:fill="91ADD7"/>
          </w:tcPr>
          <w:p w:rsidR="00E87BEF" w:rsidRPr="0097780E" w:rsidRDefault="00E87BEF" w:rsidP="0055394F">
            <w:pPr>
              <w:pStyle w:val="11TableHeader"/>
              <w:jc w:val="center"/>
              <w:cnfStyle w:val="100000000000" w:firstRow="1" w:lastRow="0" w:firstColumn="0" w:lastColumn="0" w:oddVBand="0" w:evenVBand="0" w:oddHBand="0" w:evenHBand="0" w:firstRowFirstColumn="0" w:firstRowLastColumn="0" w:lastRowFirstColumn="0" w:lastRowLastColumn="0"/>
              <w:rPr>
                <w:color w:val="000000"/>
                <w:sz w:val="18"/>
              </w:rPr>
            </w:pPr>
            <w:r>
              <w:rPr>
                <w:color w:val="000000"/>
                <w:sz w:val="18"/>
              </w:rPr>
              <w:t>Organization Name</w:t>
            </w:r>
          </w:p>
        </w:tc>
        <w:tc>
          <w:tcPr>
            <w:tcW w:w="1175" w:type="pct"/>
            <w:shd w:val="clear" w:color="auto" w:fill="91ADD7"/>
          </w:tcPr>
          <w:p w:rsidR="00E87BEF" w:rsidRPr="0097780E" w:rsidRDefault="00E87BEF" w:rsidP="00E87BEF">
            <w:pPr>
              <w:pStyle w:val="11TableHeader"/>
              <w:jc w:val="center"/>
              <w:cnfStyle w:val="100000000000" w:firstRow="1" w:lastRow="0" w:firstColumn="0" w:lastColumn="0" w:oddVBand="0" w:evenVBand="0" w:oddHBand="0" w:evenHBand="0" w:firstRowFirstColumn="0" w:firstRowLastColumn="0" w:lastRowFirstColumn="0" w:lastRowLastColumn="0"/>
              <w:rPr>
                <w:color w:val="000000"/>
                <w:sz w:val="18"/>
              </w:rPr>
            </w:pPr>
            <w:r>
              <w:rPr>
                <w:color w:val="000000"/>
                <w:sz w:val="18"/>
              </w:rPr>
              <w:t xml:space="preserve">Role </w:t>
            </w:r>
          </w:p>
        </w:tc>
        <w:tc>
          <w:tcPr>
            <w:tcW w:w="1197" w:type="pct"/>
            <w:shd w:val="clear" w:color="auto" w:fill="91ADD7"/>
          </w:tcPr>
          <w:p w:rsidR="00E87BEF" w:rsidRPr="0097780E" w:rsidRDefault="00E87BEF" w:rsidP="0055394F">
            <w:pPr>
              <w:pStyle w:val="11TableHeader"/>
              <w:jc w:val="center"/>
              <w:cnfStyle w:val="100000000000" w:firstRow="1" w:lastRow="0" w:firstColumn="0" w:lastColumn="0" w:oddVBand="0" w:evenVBand="0" w:oddHBand="0" w:evenHBand="0" w:firstRowFirstColumn="0" w:firstRowLastColumn="0" w:lastRowFirstColumn="0" w:lastRowLastColumn="0"/>
              <w:rPr>
                <w:color w:val="000000"/>
                <w:sz w:val="18"/>
              </w:rPr>
            </w:pPr>
            <w:r>
              <w:rPr>
                <w:color w:val="000000"/>
                <w:sz w:val="18"/>
              </w:rPr>
              <w:t>Disclosure Details</w:t>
            </w:r>
          </w:p>
        </w:tc>
        <w:tc>
          <w:tcPr>
            <w:tcW w:w="495" w:type="pct"/>
            <w:shd w:val="clear" w:color="auto" w:fill="91ADD7"/>
          </w:tcPr>
          <w:p w:rsidR="00E87BEF" w:rsidRPr="0097780E" w:rsidRDefault="00E9729C" w:rsidP="00E9729C">
            <w:pPr>
              <w:pStyle w:val="11TableHeader"/>
              <w:jc w:val="center"/>
              <w:cnfStyle w:val="100000000000" w:firstRow="1" w:lastRow="0" w:firstColumn="0" w:lastColumn="0" w:oddVBand="0" w:evenVBand="0" w:oddHBand="0" w:evenHBand="0" w:firstRowFirstColumn="0" w:firstRowLastColumn="0" w:lastRowFirstColumn="0" w:lastRowLastColumn="0"/>
              <w:rPr>
                <w:color w:val="000000"/>
                <w:sz w:val="18"/>
              </w:rPr>
            </w:pPr>
            <w:r>
              <w:rPr>
                <w:color w:val="000000"/>
                <w:sz w:val="18"/>
              </w:rPr>
              <w:t>Start Date</w:t>
            </w:r>
          </w:p>
        </w:tc>
        <w:tc>
          <w:tcPr>
            <w:tcW w:w="479" w:type="pct"/>
            <w:shd w:val="clear" w:color="auto" w:fill="91ADD7"/>
          </w:tcPr>
          <w:p w:rsidR="00E87BEF" w:rsidRPr="0097780E" w:rsidRDefault="00E87BEF" w:rsidP="00E9729C">
            <w:pPr>
              <w:pStyle w:val="11TableHeader"/>
              <w:jc w:val="center"/>
              <w:cnfStyle w:val="100000000000" w:firstRow="1" w:lastRow="0" w:firstColumn="0" w:lastColumn="0" w:oddVBand="0" w:evenVBand="0" w:oddHBand="0" w:evenHBand="0" w:firstRowFirstColumn="0" w:firstRowLastColumn="0" w:lastRowFirstColumn="0" w:lastRowLastColumn="0"/>
              <w:rPr>
                <w:color w:val="000000"/>
                <w:sz w:val="18"/>
              </w:rPr>
            </w:pPr>
            <w:r w:rsidRPr="0097780E">
              <w:rPr>
                <w:color w:val="000000"/>
                <w:sz w:val="18"/>
              </w:rPr>
              <w:t xml:space="preserve">End </w:t>
            </w:r>
            <w:r w:rsidR="00E9729C">
              <w:rPr>
                <w:color w:val="000000"/>
                <w:sz w:val="18"/>
              </w:rPr>
              <w:t>Date</w:t>
            </w:r>
          </w:p>
        </w:tc>
      </w:tr>
      <w:tr w:rsidR="00DA4C4A" w:rsidTr="00DA4C4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76" w:type="dxa"/>
          </w:tcPr>
          <w:p w:rsidR="00DA4C4A" w:rsidRDefault="00971FA4">
            <w:r>
              <w:lastRenderedPageBreak/>
              <w:t>1</w:t>
            </w:r>
          </w:p>
        </w:tc>
        <w:tc>
          <w:tcPr>
            <w:tcW w:w="2593" w:type="dxa"/>
          </w:tcPr>
          <w:p w:rsidR="00DA4C4A" w:rsidRDefault="00971FA4">
            <w:pPr>
              <w:cnfStyle w:val="000000100000" w:firstRow="0" w:lastRow="0" w:firstColumn="0" w:lastColumn="0" w:oddVBand="0" w:evenVBand="0" w:oddHBand="1" w:evenHBand="0" w:firstRowFirstColumn="0" w:firstRowLastColumn="0" w:lastRowFirstColumn="0" w:lastRowLastColumn="0"/>
            </w:pPr>
            <w:r>
              <w:t>Swedish Orphan Biovitrum AB</w:t>
            </w:r>
          </w:p>
        </w:tc>
        <w:tc>
          <w:tcPr>
            <w:tcW w:w="2250" w:type="dxa"/>
          </w:tcPr>
          <w:p w:rsidR="00DA4C4A" w:rsidRDefault="00971FA4">
            <w:pPr>
              <w:jc w:val="center"/>
              <w:cnfStyle w:val="000000100000" w:firstRow="0" w:lastRow="0" w:firstColumn="0" w:lastColumn="0" w:oddVBand="0" w:evenVBand="0" w:oddHBand="1" w:evenHBand="0" w:firstRowFirstColumn="0" w:firstRowLastColumn="0" w:lastRowFirstColumn="0" w:lastRowLastColumn="0"/>
            </w:pPr>
            <w:r>
              <w:t>-</w:t>
            </w:r>
          </w:p>
        </w:tc>
        <w:tc>
          <w:tcPr>
            <w:tcW w:w="2292" w:type="dxa"/>
          </w:tcPr>
          <w:p w:rsidR="00DA4C4A" w:rsidRDefault="00971FA4">
            <w:pPr>
              <w:cnfStyle w:val="000000100000" w:firstRow="0" w:lastRow="0" w:firstColumn="0" w:lastColumn="0" w:oddVBand="0" w:evenVBand="0" w:oddHBand="1" w:evenHBand="0" w:firstRowFirstColumn="0" w:firstRowLastColumn="0" w:lastRowFirstColumn="0" w:lastRowLastColumn="0"/>
            </w:pPr>
            <w:r>
              <w:t>Personal Fees</w:t>
            </w:r>
          </w:p>
        </w:tc>
        <w:tc>
          <w:tcPr>
            <w:tcW w:w="948" w:type="dxa"/>
          </w:tcPr>
          <w:p w:rsidR="00DA4C4A" w:rsidRDefault="00971FA4">
            <w:pPr>
              <w:jc w:val="center"/>
              <w:cnfStyle w:val="000000100000" w:firstRow="0" w:lastRow="0" w:firstColumn="0" w:lastColumn="0" w:oddVBand="0" w:evenVBand="0" w:oddHBand="1" w:evenHBand="0" w:firstRowFirstColumn="0" w:firstRowLastColumn="0" w:lastRowFirstColumn="0" w:lastRowLastColumn="0"/>
            </w:pPr>
            <w:r>
              <w:t>-</w:t>
            </w:r>
          </w:p>
        </w:tc>
        <w:tc>
          <w:tcPr>
            <w:tcW w:w="917" w:type="dxa"/>
          </w:tcPr>
          <w:p w:rsidR="00DA4C4A" w:rsidRDefault="00971FA4">
            <w:pPr>
              <w:jc w:val="center"/>
              <w:cnfStyle w:val="000000100000" w:firstRow="0" w:lastRow="0" w:firstColumn="0" w:lastColumn="0" w:oddVBand="0" w:evenVBand="0" w:oddHBand="1" w:evenHBand="0" w:firstRowFirstColumn="0" w:firstRowLastColumn="0" w:lastRowFirstColumn="0" w:lastRowLastColumn="0"/>
            </w:pPr>
            <w:r>
              <w:t>20-Dec-2023</w:t>
            </w:r>
          </w:p>
        </w:tc>
      </w:tr>
      <w:tr w:rsidR="00DA4C4A" w:rsidTr="00DA4C4A">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76" w:type="dxa"/>
          </w:tcPr>
          <w:p w:rsidR="00DA4C4A" w:rsidRDefault="00971FA4">
            <w:r>
              <w:t>2</w:t>
            </w:r>
          </w:p>
        </w:tc>
        <w:tc>
          <w:tcPr>
            <w:tcW w:w="2593" w:type="dxa"/>
          </w:tcPr>
          <w:p w:rsidR="00DA4C4A" w:rsidRDefault="00971FA4">
            <w:pPr>
              <w:cnfStyle w:val="000000010000" w:firstRow="0" w:lastRow="0" w:firstColumn="0" w:lastColumn="0" w:oddVBand="0" w:evenVBand="0" w:oddHBand="0" w:evenHBand="1" w:firstRowFirstColumn="0" w:firstRowLastColumn="0" w:lastRowFirstColumn="0" w:lastRowLastColumn="0"/>
            </w:pPr>
            <w:r>
              <w:t>Swedish Orphan Biovitrum AB</w:t>
            </w:r>
          </w:p>
        </w:tc>
        <w:tc>
          <w:tcPr>
            <w:tcW w:w="2250" w:type="dxa"/>
          </w:tcPr>
          <w:p w:rsidR="00DA4C4A" w:rsidRDefault="00971FA4">
            <w:pPr>
              <w:jc w:val="center"/>
              <w:cnfStyle w:val="000000010000" w:firstRow="0" w:lastRow="0" w:firstColumn="0" w:lastColumn="0" w:oddVBand="0" w:evenVBand="0" w:oddHBand="0" w:evenHBand="1" w:firstRowFirstColumn="0" w:firstRowLastColumn="0" w:lastRowFirstColumn="0" w:lastRowLastColumn="0"/>
            </w:pPr>
            <w:r>
              <w:t>-</w:t>
            </w:r>
          </w:p>
        </w:tc>
        <w:tc>
          <w:tcPr>
            <w:tcW w:w="2292" w:type="dxa"/>
          </w:tcPr>
          <w:p w:rsidR="00DA4C4A" w:rsidRDefault="00971FA4">
            <w:pPr>
              <w:cnfStyle w:val="000000010000" w:firstRow="0" w:lastRow="0" w:firstColumn="0" w:lastColumn="0" w:oddVBand="0" w:evenVBand="0" w:oddHBand="0" w:evenHBand="1" w:firstRowFirstColumn="0" w:firstRowLastColumn="0" w:lastRowFirstColumn="0" w:lastRowLastColumn="0"/>
            </w:pPr>
            <w:r>
              <w:t>Consultancy Fees</w:t>
            </w:r>
          </w:p>
        </w:tc>
        <w:tc>
          <w:tcPr>
            <w:tcW w:w="948" w:type="dxa"/>
          </w:tcPr>
          <w:p w:rsidR="00DA4C4A" w:rsidRDefault="00971FA4">
            <w:pPr>
              <w:jc w:val="center"/>
              <w:cnfStyle w:val="000000010000" w:firstRow="0" w:lastRow="0" w:firstColumn="0" w:lastColumn="0" w:oddVBand="0" w:evenVBand="0" w:oddHBand="0" w:evenHBand="1" w:firstRowFirstColumn="0" w:firstRowLastColumn="0" w:lastRowFirstColumn="0" w:lastRowLastColumn="0"/>
            </w:pPr>
            <w:r>
              <w:t>-</w:t>
            </w:r>
          </w:p>
        </w:tc>
        <w:tc>
          <w:tcPr>
            <w:tcW w:w="917" w:type="dxa"/>
          </w:tcPr>
          <w:p w:rsidR="00DA4C4A" w:rsidRDefault="00971FA4">
            <w:pPr>
              <w:jc w:val="center"/>
              <w:cnfStyle w:val="000000010000" w:firstRow="0" w:lastRow="0" w:firstColumn="0" w:lastColumn="0" w:oddVBand="0" w:evenVBand="0" w:oddHBand="0" w:evenHBand="1" w:firstRowFirstColumn="0" w:firstRowLastColumn="0" w:lastRowFirstColumn="0" w:lastRowLastColumn="0"/>
            </w:pPr>
            <w:r>
              <w:t>30-Mar-2023</w:t>
            </w:r>
          </w:p>
        </w:tc>
      </w:tr>
      <w:tr w:rsidR="00DA4C4A" w:rsidTr="00DA4C4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76" w:type="dxa"/>
          </w:tcPr>
          <w:p w:rsidR="00DA4C4A" w:rsidRDefault="00971FA4">
            <w:r>
              <w:t>3</w:t>
            </w:r>
          </w:p>
        </w:tc>
        <w:tc>
          <w:tcPr>
            <w:tcW w:w="2593" w:type="dxa"/>
          </w:tcPr>
          <w:p w:rsidR="00DA4C4A" w:rsidRDefault="00971FA4">
            <w:pPr>
              <w:cnfStyle w:val="000000100000" w:firstRow="0" w:lastRow="0" w:firstColumn="0" w:lastColumn="0" w:oddVBand="0" w:evenVBand="0" w:oddHBand="1" w:evenHBand="0" w:firstRowFirstColumn="0" w:firstRowLastColumn="0" w:lastRowFirstColumn="0" w:lastRowLastColumn="0"/>
            </w:pPr>
            <w:r>
              <w:t>Swedish Orphan Biovitrum AB</w:t>
            </w:r>
          </w:p>
        </w:tc>
        <w:tc>
          <w:tcPr>
            <w:tcW w:w="2250" w:type="dxa"/>
          </w:tcPr>
          <w:p w:rsidR="00DA4C4A" w:rsidRDefault="00971FA4">
            <w:pPr>
              <w:jc w:val="center"/>
              <w:cnfStyle w:val="000000100000" w:firstRow="0" w:lastRow="0" w:firstColumn="0" w:lastColumn="0" w:oddVBand="0" w:evenVBand="0" w:oddHBand="1" w:evenHBand="0" w:firstRowFirstColumn="0" w:firstRowLastColumn="0" w:lastRowFirstColumn="0" w:lastRowLastColumn="0"/>
            </w:pPr>
            <w:r>
              <w:t>-</w:t>
            </w:r>
          </w:p>
        </w:tc>
        <w:tc>
          <w:tcPr>
            <w:tcW w:w="2292" w:type="dxa"/>
          </w:tcPr>
          <w:p w:rsidR="00DA4C4A" w:rsidRDefault="00971FA4">
            <w:pPr>
              <w:cnfStyle w:val="000000100000" w:firstRow="0" w:lastRow="0" w:firstColumn="0" w:lastColumn="0" w:oddVBand="0" w:evenVBand="0" w:oddHBand="1" w:evenHBand="0" w:firstRowFirstColumn="0" w:firstRowLastColumn="0" w:lastRowFirstColumn="0" w:lastRowLastColumn="0"/>
            </w:pPr>
            <w:r>
              <w:t>Personal Fees</w:t>
            </w:r>
          </w:p>
        </w:tc>
        <w:tc>
          <w:tcPr>
            <w:tcW w:w="948" w:type="dxa"/>
          </w:tcPr>
          <w:p w:rsidR="00DA4C4A" w:rsidRDefault="00971FA4">
            <w:pPr>
              <w:jc w:val="center"/>
              <w:cnfStyle w:val="000000100000" w:firstRow="0" w:lastRow="0" w:firstColumn="0" w:lastColumn="0" w:oddVBand="0" w:evenVBand="0" w:oddHBand="1" w:evenHBand="0" w:firstRowFirstColumn="0" w:firstRowLastColumn="0" w:lastRowFirstColumn="0" w:lastRowLastColumn="0"/>
            </w:pPr>
            <w:r>
              <w:t>-</w:t>
            </w:r>
          </w:p>
        </w:tc>
        <w:tc>
          <w:tcPr>
            <w:tcW w:w="917" w:type="dxa"/>
          </w:tcPr>
          <w:p w:rsidR="00DA4C4A" w:rsidRDefault="00971FA4">
            <w:pPr>
              <w:jc w:val="center"/>
              <w:cnfStyle w:val="000000100000" w:firstRow="0" w:lastRow="0" w:firstColumn="0" w:lastColumn="0" w:oddVBand="0" w:evenVBand="0" w:oddHBand="1" w:evenHBand="0" w:firstRowFirstColumn="0" w:firstRowLastColumn="0" w:lastRowFirstColumn="0" w:lastRowLastColumn="0"/>
            </w:pPr>
            <w:r>
              <w:t>30-Mar-2023</w:t>
            </w:r>
          </w:p>
        </w:tc>
      </w:tr>
      <w:tr w:rsidR="00DA4C4A" w:rsidTr="00DA4C4A">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76" w:type="dxa"/>
          </w:tcPr>
          <w:p w:rsidR="00DA4C4A" w:rsidRDefault="00971FA4">
            <w:r>
              <w:t>4</w:t>
            </w:r>
          </w:p>
        </w:tc>
        <w:tc>
          <w:tcPr>
            <w:tcW w:w="2593" w:type="dxa"/>
          </w:tcPr>
          <w:p w:rsidR="00DA4C4A" w:rsidRDefault="00971FA4">
            <w:pPr>
              <w:cnfStyle w:val="000000010000" w:firstRow="0" w:lastRow="0" w:firstColumn="0" w:lastColumn="0" w:oddVBand="0" w:evenVBand="0" w:oddHBand="0" w:evenHBand="1" w:firstRowFirstColumn="0" w:firstRowLastColumn="0" w:lastRowFirstColumn="0" w:lastRowLastColumn="0"/>
            </w:pPr>
            <w:r>
              <w:t>Swedish Orphan Biovitrum AB</w:t>
            </w:r>
          </w:p>
        </w:tc>
        <w:tc>
          <w:tcPr>
            <w:tcW w:w="2250" w:type="dxa"/>
          </w:tcPr>
          <w:p w:rsidR="00DA4C4A" w:rsidRDefault="00971FA4">
            <w:pPr>
              <w:jc w:val="center"/>
              <w:cnfStyle w:val="000000010000" w:firstRow="0" w:lastRow="0" w:firstColumn="0" w:lastColumn="0" w:oddVBand="0" w:evenVBand="0" w:oddHBand="0" w:evenHBand="1" w:firstRowFirstColumn="0" w:firstRowLastColumn="0" w:lastRowFirstColumn="0" w:lastRowLastColumn="0"/>
            </w:pPr>
            <w:r>
              <w:t>-</w:t>
            </w:r>
          </w:p>
        </w:tc>
        <w:tc>
          <w:tcPr>
            <w:tcW w:w="2292" w:type="dxa"/>
          </w:tcPr>
          <w:p w:rsidR="00DA4C4A" w:rsidRDefault="00971FA4">
            <w:pPr>
              <w:cnfStyle w:val="000000010000" w:firstRow="0" w:lastRow="0" w:firstColumn="0" w:lastColumn="0" w:oddVBand="0" w:evenVBand="0" w:oddHBand="0" w:evenHBand="1" w:firstRowFirstColumn="0" w:firstRowLastColumn="0" w:lastRowFirstColumn="0" w:lastRowLastColumn="0"/>
            </w:pPr>
            <w:r>
              <w:t>Personal Fees</w:t>
            </w:r>
          </w:p>
        </w:tc>
        <w:tc>
          <w:tcPr>
            <w:tcW w:w="948" w:type="dxa"/>
          </w:tcPr>
          <w:p w:rsidR="00DA4C4A" w:rsidRDefault="00971FA4">
            <w:pPr>
              <w:jc w:val="center"/>
              <w:cnfStyle w:val="000000010000" w:firstRow="0" w:lastRow="0" w:firstColumn="0" w:lastColumn="0" w:oddVBand="0" w:evenVBand="0" w:oddHBand="0" w:evenHBand="1" w:firstRowFirstColumn="0" w:firstRowLastColumn="0" w:lastRowFirstColumn="0" w:lastRowLastColumn="0"/>
            </w:pPr>
            <w:r>
              <w:t>-</w:t>
            </w:r>
          </w:p>
        </w:tc>
        <w:tc>
          <w:tcPr>
            <w:tcW w:w="917" w:type="dxa"/>
          </w:tcPr>
          <w:p w:rsidR="00DA4C4A" w:rsidRDefault="00971FA4">
            <w:pPr>
              <w:jc w:val="center"/>
              <w:cnfStyle w:val="000000010000" w:firstRow="0" w:lastRow="0" w:firstColumn="0" w:lastColumn="0" w:oddVBand="0" w:evenVBand="0" w:oddHBand="0" w:evenHBand="1" w:firstRowFirstColumn="0" w:firstRowLastColumn="0" w:lastRowFirstColumn="0" w:lastRowLastColumn="0"/>
            </w:pPr>
            <w:r>
              <w:t>7-Feb-2023</w:t>
            </w:r>
          </w:p>
        </w:tc>
      </w:tr>
      <w:tr w:rsidR="00DA4C4A" w:rsidTr="00DA4C4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76" w:type="dxa"/>
          </w:tcPr>
          <w:p w:rsidR="00DA4C4A" w:rsidRDefault="00971FA4">
            <w:r>
              <w:t>5</w:t>
            </w:r>
          </w:p>
        </w:tc>
        <w:tc>
          <w:tcPr>
            <w:tcW w:w="2593" w:type="dxa"/>
          </w:tcPr>
          <w:p w:rsidR="00DA4C4A" w:rsidRDefault="00971FA4">
            <w:pPr>
              <w:cnfStyle w:val="000000100000" w:firstRow="0" w:lastRow="0" w:firstColumn="0" w:lastColumn="0" w:oddVBand="0" w:evenVBand="0" w:oddHBand="1" w:evenHBand="0" w:firstRowFirstColumn="0" w:firstRowLastColumn="0" w:lastRowFirstColumn="0" w:lastRowLastColumn="0"/>
            </w:pPr>
            <w:r>
              <w:t>Jazz Pharmaceuticals, Inc.</w:t>
            </w:r>
          </w:p>
        </w:tc>
        <w:tc>
          <w:tcPr>
            <w:tcW w:w="2250" w:type="dxa"/>
          </w:tcPr>
          <w:p w:rsidR="00DA4C4A" w:rsidRDefault="00971FA4">
            <w:pPr>
              <w:jc w:val="center"/>
              <w:cnfStyle w:val="000000100000" w:firstRow="0" w:lastRow="0" w:firstColumn="0" w:lastColumn="0" w:oddVBand="0" w:evenVBand="0" w:oddHBand="1" w:evenHBand="0" w:firstRowFirstColumn="0" w:firstRowLastColumn="0" w:lastRowFirstColumn="0" w:lastRowLastColumn="0"/>
            </w:pPr>
            <w:r>
              <w:t>-</w:t>
            </w:r>
          </w:p>
        </w:tc>
        <w:tc>
          <w:tcPr>
            <w:tcW w:w="2292" w:type="dxa"/>
          </w:tcPr>
          <w:p w:rsidR="00DA4C4A" w:rsidRDefault="00971FA4">
            <w:pPr>
              <w:cnfStyle w:val="000000100000" w:firstRow="0" w:lastRow="0" w:firstColumn="0" w:lastColumn="0" w:oddVBand="0" w:evenVBand="0" w:oddHBand="1" w:evenHBand="0" w:firstRowFirstColumn="0" w:firstRowLastColumn="0" w:lastRowFirstColumn="0" w:lastRowLastColumn="0"/>
            </w:pPr>
            <w:r>
              <w:t>Personal Fees</w:t>
            </w:r>
          </w:p>
        </w:tc>
        <w:tc>
          <w:tcPr>
            <w:tcW w:w="948" w:type="dxa"/>
          </w:tcPr>
          <w:p w:rsidR="00DA4C4A" w:rsidRDefault="00971FA4">
            <w:pPr>
              <w:jc w:val="center"/>
              <w:cnfStyle w:val="000000100000" w:firstRow="0" w:lastRow="0" w:firstColumn="0" w:lastColumn="0" w:oddVBand="0" w:evenVBand="0" w:oddHBand="1" w:evenHBand="0" w:firstRowFirstColumn="0" w:firstRowLastColumn="0" w:lastRowFirstColumn="0" w:lastRowLastColumn="0"/>
            </w:pPr>
            <w:r>
              <w:t>-</w:t>
            </w:r>
          </w:p>
        </w:tc>
        <w:tc>
          <w:tcPr>
            <w:tcW w:w="917" w:type="dxa"/>
          </w:tcPr>
          <w:p w:rsidR="00DA4C4A" w:rsidRDefault="00971FA4">
            <w:pPr>
              <w:jc w:val="center"/>
              <w:cnfStyle w:val="000000100000" w:firstRow="0" w:lastRow="0" w:firstColumn="0" w:lastColumn="0" w:oddVBand="0" w:evenVBand="0" w:oddHBand="1" w:evenHBand="0" w:firstRowFirstColumn="0" w:firstRowLastColumn="0" w:lastRowFirstColumn="0" w:lastRowLastColumn="0"/>
            </w:pPr>
            <w:r>
              <w:t>16-Feb-2023</w:t>
            </w:r>
          </w:p>
        </w:tc>
      </w:tr>
      <w:tr w:rsidR="00DA4C4A" w:rsidTr="00DA4C4A">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76" w:type="dxa"/>
          </w:tcPr>
          <w:p w:rsidR="00DA4C4A" w:rsidRDefault="00971FA4">
            <w:r>
              <w:t>6</w:t>
            </w:r>
          </w:p>
        </w:tc>
        <w:tc>
          <w:tcPr>
            <w:tcW w:w="2593" w:type="dxa"/>
          </w:tcPr>
          <w:p w:rsidR="00DA4C4A" w:rsidRDefault="00971FA4">
            <w:pPr>
              <w:cnfStyle w:val="000000010000" w:firstRow="0" w:lastRow="0" w:firstColumn="0" w:lastColumn="0" w:oddVBand="0" w:evenVBand="0" w:oddHBand="0" w:evenHBand="1" w:firstRowFirstColumn="0" w:firstRowLastColumn="0" w:lastRowFirstColumn="0" w:lastRowLastColumn="0"/>
            </w:pPr>
            <w:r>
              <w:t>Takeda Pharmaceutical Company Limited</w:t>
            </w:r>
          </w:p>
        </w:tc>
        <w:tc>
          <w:tcPr>
            <w:tcW w:w="2250" w:type="dxa"/>
          </w:tcPr>
          <w:p w:rsidR="00DA4C4A" w:rsidRDefault="00971FA4">
            <w:pPr>
              <w:jc w:val="center"/>
              <w:cnfStyle w:val="000000010000" w:firstRow="0" w:lastRow="0" w:firstColumn="0" w:lastColumn="0" w:oddVBand="0" w:evenVBand="0" w:oddHBand="0" w:evenHBand="1" w:firstRowFirstColumn="0" w:firstRowLastColumn="0" w:lastRowFirstColumn="0" w:lastRowLastColumn="0"/>
            </w:pPr>
            <w:r>
              <w:t>-</w:t>
            </w:r>
          </w:p>
        </w:tc>
        <w:tc>
          <w:tcPr>
            <w:tcW w:w="2292" w:type="dxa"/>
          </w:tcPr>
          <w:p w:rsidR="00DA4C4A" w:rsidRDefault="00971FA4">
            <w:pPr>
              <w:cnfStyle w:val="000000010000" w:firstRow="0" w:lastRow="0" w:firstColumn="0" w:lastColumn="0" w:oddVBand="0" w:evenVBand="0" w:oddHBand="0" w:evenHBand="1" w:firstRowFirstColumn="0" w:firstRowLastColumn="0" w:lastRowFirstColumn="0" w:lastRowLastColumn="0"/>
            </w:pPr>
            <w:r>
              <w:t>Personal Fees</w:t>
            </w:r>
          </w:p>
        </w:tc>
        <w:tc>
          <w:tcPr>
            <w:tcW w:w="948" w:type="dxa"/>
          </w:tcPr>
          <w:p w:rsidR="00DA4C4A" w:rsidRDefault="00971FA4">
            <w:pPr>
              <w:jc w:val="center"/>
              <w:cnfStyle w:val="000000010000" w:firstRow="0" w:lastRow="0" w:firstColumn="0" w:lastColumn="0" w:oddVBand="0" w:evenVBand="0" w:oddHBand="0" w:evenHBand="1" w:firstRowFirstColumn="0" w:firstRowLastColumn="0" w:lastRowFirstColumn="0" w:lastRowLastColumn="0"/>
            </w:pPr>
            <w:r>
              <w:t>-</w:t>
            </w:r>
          </w:p>
        </w:tc>
        <w:tc>
          <w:tcPr>
            <w:tcW w:w="917" w:type="dxa"/>
          </w:tcPr>
          <w:p w:rsidR="00DA4C4A" w:rsidRDefault="00971FA4">
            <w:pPr>
              <w:jc w:val="center"/>
              <w:cnfStyle w:val="000000010000" w:firstRow="0" w:lastRow="0" w:firstColumn="0" w:lastColumn="0" w:oddVBand="0" w:evenVBand="0" w:oddHBand="0" w:evenHBand="1" w:firstRowFirstColumn="0" w:firstRowLastColumn="0" w:lastRowFirstColumn="0" w:lastRowLastColumn="0"/>
            </w:pPr>
            <w:r>
              <w:t>21-Jan-2023</w:t>
            </w:r>
          </w:p>
        </w:tc>
      </w:tr>
      <w:tr w:rsidR="00DA4C4A" w:rsidTr="00DA4C4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76" w:type="dxa"/>
          </w:tcPr>
          <w:p w:rsidR="00DA4C4A" w:rsidRDefault="00971FA4">
            <w:r>
              <w:t>7</w:t>
            </w:r>
          </w:p>
        </w:tc>
        <w:tc>
          <w:tcPr>
            <w:tcW w:w="2593" w:type="dxa"/>
          </w:tcPr>
          <w:p w:rsidR="00DA4C4A" w:rsidRDefault="00971FA4">
            <w:pPr>
              <w:cnfStyle w:val="000000100000" w:firstRow="0" w:lastRow="0" w:firstColumn="0" w:lastColumn="0" w:oddVBand="0" w:evenVBand="0" w:oddHBand="1" w:evenHBand="0" w:firstRowFirstColumn="0" w:firstRowLastColumn="0" w:lastRowFirstColumn="0" w:lastRowLastColumn="0"/>
            </w:pPr>
            <w:r>
              <w:t>Swedish Orphan Biovitrum AB</w:t>
            </w:r>
          </w:p>
        </w:tc>
        <w:tc>
          <w:tcPr>
            <w:tcW w:w="2250" w:type="dxa"/>
          </w:tcPr>
          <w:p w:rsidR="00DA4C4A" w:rsidRDefault="00971FA4">
            <w:pPr>
              <w:jc w:val="center"/>
              <w:cnfStyle w:val="000000100000" w:firstRow="0" w:lastRow="0" w:firstColumn="0" w:lastColumn="0" w:oddVBand="0" w:evenVBand="0" w:oddHBand="1" w:evenHBand="0" w:firstRowFirstColumn="0" w:firstRowLastColumn="0" w:lastRowFirstColumn="0" w:lastRowLastColumn="0"/>
            </w:pPr>
            <w:r>
              <w:t>-</w:t>
            </w:r>
          </w:p>
        </w:tc>
        <w:tc>
          <w:tcPr>
            <w:tcW w:w="2292" w:type="dxa"/>
          </w:tcPr>
          <w:p w:rsidR="00DA4C4A" w:rsidRDefault="00971FA4">
            <w:pPr>
              <w:cnfStyle w:val="000000100000" w:firstRow="0" w:lastRow="0" w:firstColumn="0" w:lastColumn="0" w:oddVBand="0" w:evenVBand="0" w:oddHBand="1" w:evenHBand="0" w:firstRowFirstColumn="0" w:firstRowLastColumn="0" w:lastRowFirstColumn="0" w:lastRowLastColumn="0"/>
            </w:pPr>
            <w:r>
              <w:t>Personal Fees</w:t>
            </w:r>
          </w:p>
        </w:tc>
        <w:tc>
          <w:tcPr>
            <w:tcW w:w="948" w:type="dxa"/>
          </w:tcPr>
          <w:p w:rsidR="00DA4C4A" w:rsidRDefault="00971FA4">
            <w:pPr>
              <w:jc w:val="center"/>
              <w:cnfStyle w:val="000000100000" w:firstRow="0" w:lastRow="0" w:firstColumn="0" w:lastColumn="0" w:oddVBand="0" w:evenVBand="0" w:oddHBand="1" w:evenHBand="0" w:firstRowFirstColumn="0" w:firstRowLastColumn="0" w:lastRowFirstColumn="0" w:lastRowLastColumn="0"/>
            </w:pPr>
            <w:r>
              <w:t>-</w:t>
            </w:r>
          </w:p>
        </w:tc>
        <w:tc>
          <w:tcPr>
            <w:tcW w:w="917" w:type="dxa"/>
          </w:tcPr>
          <w:p w:rsidR="00DA4C4A" w:rsidRDefault="00971FA4">
            <w:pPr>
              <w:jc w:val="center"/>
              <w:cnfStyle w:val="000000100000" w:firstRow="0" w:lastRow="0" w:firstColumn="0" w:lastColumn="0" w:oddVBand="0" w:evenVBand="0" w:oddHBand="1" w:evenHBand="0" w:firstRowFirstColumn="0" w:firstRowLastColumn="0" w:lastRowFirstColumn="0" w:lastRowLastColumn="0"/>
            </w:pPr>
            <w:r>
              <w:t>7-Jun-2022</w:t>
            </w:r>
          </w:p>
        </w:tc>
      </w:tr>
      <w:tr w:rsidR="00DA4C4A" w:rsidTr="00DA4C4A">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76" w:type="dxa"/>
          </w:tcPr>
          <w:p w:rsidR="00DA4C4A" w:rsidRDefault="00971FA4">
            <w:r>
              <w:t>8</w:t>
            </w:r>
          </w:p>
        </w:tc>
        <w:tc>
          <w:tcPr>
            <w:tcW w:w="2593" w:type="dxa"/>
          </w:tcPr>
          <w:p w:rsidR="00DA4C4A" w:rsidRDefault="00971FA4">
            <w:pPr>
              <w:cnfStyle w:val="000000010000" w:firstRow="0" w:lastRow="0" w:firstColumn="0" w:lastColumn="0" w:oddVBand="0" w:evenVBand="0" w:oddHBand="0" w:evenHBand="1" w:firstRowFirstColumn="0" w:firstRowLastColumn="0" w:lastRowFirstColumn="0" w:lastRowLastColumn="0"/>
            </w:pPr>
            <w:r>
              <w:t>Incyte Corporation</w:t>
            </w:r>
          </w:p>
        </w:tc>
        <w:tc>
          <w:tcPr>
            <w:tcW w:w="2250" w:type="dxa"/>
          </w:tcPr>
          <w:p w:rsidR="00DA4C4A" w:rsidRDefault="00971FA4">
            <w:pPr>
              <w:jc w:val="center"/>
              <w:cnfStyle w:val="000000010000" w:firstRow="0" w:lastRow="0" w:firstColumn="0" w:lastColumn="0" w:oddVBand="0" w:evenVBand="0" w:oddHBand="0" w:evenHBand="1" w:firstRowFirstColumn="0" w:firstRowLastColumn="0" w:lastRowFirstColumn="0" w:lastRowLastColumn="0"/>
            </w:pPr>
            <w:r>
              <w:t>-</w:t>
            </w:r>
          </w:p>
        </w:tc>
        <w:tc>
          <w:tcPr>
            <w:tcW w:w="2292" w:type="dxa"/>
          </w:tcPr>
          <w:p w:rsidR="00DA4C4A" w:rsidRDefault="00971FA4">
            <w:pPr>
              <w:cnfStyle w:val="000000010000" w:firstRow="0" w:lastRow="0" w:firstColumn="0" w:lastColumn="0" w:oddVBand="0" w:evenVBand="0" w:oddHBand="0" w:evenHBand="1" w:firstRowFirstColumn="0" w:firstRowLastColumn="0" w:lastRowFirstColumn="0" w:lastRowLastColumn="0"/>
            </w:pPr>
            <w:r>
              <w:t>Personal Fees</w:t>
            </w:r>
          </w:p>
        </w:tc>
        <w:tc>
          <w:tcPr>
            <w:tcW w:w="948" w:type="dxa"/>
          </w:tcPr>
          <w:p w:rsidR="00DA4C4A" w:rsidRDefault="00971FA4">
            <w:pPr>
              <w:jc w:val="center"/>
              <w:cnfStyle w:val="000000010000" w:firstRow="0" w:lastRow="0" w:firstColumn="0" w:lastColumn="0" w:oddVBand="0" w:evenVBand="0" w:oddHBand="0" w:evenHBand="1" w:firstRowFirstColumn="0" w:firstRowLastColumn="0" w:lastRowFirstColumn="0" w:lastRowLastColumn="0"/>
            </w:pPr>
            <w:r>
              <w:t>-</w:t>
            </w:r>
          </w:p>
        </w:tc>
        <w:tc>
          <w:tcPr>
            <w:tcW w:w="917" w:type="dxa"/>
          </w:tcPr>
          <w:p w:rsidR="00DA4C4A" w:rsidRDefault="00971FA4">
            <w:pPr>
              <w:jc w:val="center"/>
              <w:cnfStyle w:val="000000010000" w:firstRow="0" w:lastRow="0" w:firstColumn="0" w:lastColumn="0" w:oddVBand="0" w:evenVBand="0" w:oddHBand="0" w:evenHBand="1" w:firstRowFirstColumn="0" w:firstRowLastColumn="0" w:lastRowFirstColumn="0" w:lastRowLastColumn="0"/>
            </w:pPr>
            <w:r>
              <w:t>20-May-2022</w:t>
            </w:r>
          </w:p>
        </w:tc>
      </w:tr>
      <w:tr w:rsidR="00DA4C4A" w:rsidTr="00DA4C4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76" w:type="dxa"/>
          </w:tcPr>
          <w:p w:rsidR="00DA4C4A" w:rsidRDefault="00971FA4">
            <w:r>
              <w:t>9</w:t>
            </w:r>
          </w:p>
        </w:tc>
        <w:tc>
          <w:tcPr>
            <w:tcW w:w="2593" w:type="dxa"/>
          </w:tcPr>
          <w:p w:rsidR="00DA4C4A" w:rsidRDefault="00971FA4">
            <w:pPr>
              <w:cnfStyle w:val="000000100000" w:firstRow="0" w:lastRow="0" w:firstColumn="0" w:lastColumn="0" w:oddVBand="0" w:evenVBand="0" w:oddHBand="1" w:evenHBand="0" w:firstRowFirstColumn="0" w:firstRowLastColumn="0" w:lastRowFirstColumn="0" w:lastRowLastColumn="0"/>
            </w:pPr>
            <w:r>
              <w:t>Swedish Orphan Biovitrum AB</w:t>
            </w:r>
          </w:p>
        </w:tc>
        <w:tc>
          <w:tcPr>
            <w:tcW w:w="2250" w:type="dxa"/>
          </w:tcPr>
          <w:p w:rsidR="00DA4C4A" w:rsidRDefault="00971FA4">
            <w:pPr>
              <w:jc w:val="center"/>
              <w:cnfStyle w:val="000000100000" w:firstRow="0" w:lastRow="0" w:firstColumn="0" w:lastColumn="0" w:oddVBand="0" w:evenVBand="0" w:oddHBand="1" w:evenHBand="0" w:firstRowFirstColumn="0" w:firstRowLastColumn="0" w:lastRowFirstColumn="0" w:lastRowLastColumn="0"/>
            </w:pPr>
            <w:r>
              <w:t>-</w:t>
            </w:r>
          </w:p>
        </w:tc>
        <w:tc>
          <w:tcPr>
            <w:tcW w:w="2292" w:type="dxa"/>
          </w:tcPr>
          <w:p w:rsidR="00DA4C4A" w:rsidRDefault="00971FA4">
            <w:pPr>
              <w:cnfStyle w:val="000000100000" w:firstRow="0" w:lastRow="0" w:firstColumn="0" w:lastColumn="0" w:oddVBand="0" w:evenVBand="0" w:oddHBand="1" w:evenHBand="0" w:firstRowFirstColumn="0" w:firstRowLastColumn="0" w:lastRowFirstColumn="0" w:lastRowLastColumn="0"/>
            </w:pPr>
            <w:r>
              <w:t>Personal Fees</w:t>
            </w:r>
          </w:p>
        </w:tc>
        <w:tc>
          <w:tcPr>
            <w:tcW w:w="948" w:type="dxa"/>
          </w:tcPr>
          <w:p w:rsidR="00DA4C4A" w:rsidRDefault="00971FA4">
            <w:pPr>
              <w:jc w:val="center"/>
              <w:cnfStyle w:val="000000100000" w:firstRow="0" w:lastRow="0" w:firstColumn="0" w:lastColumn="0" w:oddVBand="0" w:evenVBand="0" w:oddHBand="1" w:evenHBand="0" w:firstRowFirstColumn="0" w:firstRowLastColumn="0" w:lastRowFirstColumn="0" w:lastRowLastColumn="0"/>
            </w:pPr>
            <w:r>
              <w:t>-</w:t>
            </w:r>
          </w:p>
        </w:tc>
        <w:tc>
          <w:tcPr>
            <w:tcW w:w="917" w:type="dxa"/>
          </w:tcPr>
          <w:p w:rsidR="00DA4C4A" w:rsidRDefault="00971FA4">
            <w:pPr>
              <w:jc w:val="center"/>
              <w:cnfStyle w:val="000000100000" w:firstRow="0" w:lastRow="0" w:firstColumn="0" w:lastColumn="0" w:oddVBand="0" w:evenVBand="0" w:oddHBand="1" w:evenHBand="0" w:firstRowFirstColumn="0" w:firstRowLastColumn="0" w:lastRowFirstColumn="0" w:lastRowLastColumn="0"/>
            </w:pPr>
            <w:r>
              <w:t>8-Feb-2022</w:t>
            </w:r>
          </w:p>
        </w:tc>
      </w:tr>
      <w:tr w:rsidR="00DA4C4A" w:rsidTr="00DA4C4A">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76" w:type="dxa"/>
          </w:tcPr>
          <w:p w:rsidR="00DA4C4A" w:rsidRDefault="00971FA4">
            <w:r>
              <w:t>10</w:t>
            </w:r>
          </w:p>
        </w:tc>
        <w:tc>
          <w:tcPr>
            <w:tcW w:w="2593" w:type="dxa"/>
          </w:tcPr>
          <w:p w:rsidR="00DA4C4A" w:rsidRDefault="00971FA4">
            <w:pPr>
              <w:cnfStyle w:val="000000010000" w:firstRow="0" w:lastRow="0" w:firstColumn="0" w:lastColumn="0" w:oddVBand="0" w:evenVBand="0" w:oddHBand="0" w:evenHBand="1" w:firstRowFirstColumn="0" w:firstRowLastColumn="0" w:lastRowFirstColumn="0" w:lastRowLastColumn="0"/>
            </w:pPr>
            <w:r>
              <w:t>Swedish Orphan Biovitrum AB</w:t>
            </w:r>
          </w:p>
        </w:tc>
        <w:tc>
          <w:tcPr>
            <w:tcW w:w="2250" w:type="dxa"/>
          </w:tcPr>
          <w:p w:rsidR="00DA4C4A" w:rsidRDefault="00971FA4">
            <w:pPr>
              <w:jc w:val="center"/>
              <w:cnfStyle w:val="000000010000" w:firstRow="0" w:lastRow="0" w:firstColumn="0" w:lastColumn="0" w:oddVBand="0" w:evenVBand="0" w:oddHBand="0" w:evenHBand="1" w:firstRowFirstColumn="0" w:firstRowLastColumn="0" w:lastRowFirstColumn="0" w:lastRowLastColumn="0"/>
            </w:pPr>
            <w:r>
              <w:t>-</w:t>
            </w:r>
          </w:p>
        </w:tc>
        <w:tc>
          <w:tcPr>
            <w:tcW w:w="2292" w:type="dxa"/>
          </w:tcPr>
          <w:p w:rsidR="00DA4C4A" w:rsidRDefault="00971FA4">
            <w:pPr>
              <w:cnfStyle w:val="000000010000" w:firstRow="0" w:lastRow="0" w:firstColumn="0" w:lastColumn="0" w:oddVBand="0" w:evenVBand="0" w:oddHBand="0" w:evenHBand="1" w:firstRowFirstColumn="0" w:firstRowLastColumn="0" w:lastRowFirstColumn="0" w:lastRowLastColumn="0"/>
            </w:pPr>
            <w:r>
              <w:t>Consultancy Fees</w:t>
            </w:r>
          </w:p>
        </w:tc>
        <w:tc>
          <w:tcPr>
            <w:tcW w:w="948" w:type="dxa"/>
          </w:tcPr>
          <w:p w:rsidR="00DA4C4A" w:rsidRDefault="00971FA4">
            <w:pPr>
              <w:jc w:val="center"/>
              <w:cnfStyle w:val="000000010000" w:firstRow="0" w:lastRow="0" w:firstColumn="0" w:lastColumn="0" w:oddVBand="0" w:evenVBand="0" w:oddHBand="0" w:evenHBand="1" w:firstRowFirstColumn="0" w:firstRowLastColumn="0" w:lastRowFirstColumn="0" w:lastRowLastColumn="0"/>
            </w:pPr>
            <w:r>
              <w:t>-</w:t>
            </w:r>
          </w:p>
        </w:tc>
        <w:tc>
          <w:tcPr>
            <w:tcW w:w="917" w:type="dxa"/>
          </w:tcPr>
          <w:p w:rsidR="00DA4C4A" w:rsidRDefault="00971FA4">
            <w:pPr>
              <w:jc w:val="center"/>
              <w:cnfStyle w:val="000000010000" w:firstRow="0" w:lastRow="0" w:firstColumn="0" w:lastColumn="0" w:oddVBand="0" w:evenVBand="0" w:oddHBand="0" w:evenHBand="1" w:firstRowFirstColumn="0" w:firstRowLastColumn="0" w:lastRowFirstColumn="0" w:lastRowLastColumn="0"/>
            </w:pPr>
            <w:r>
              <w:t>10-Dec-2021</w:t>
            </w:r>
          </w:p>
        </w:tc>
      </w:tr>
      <w:tr w:rsidR="00DA4C4A" w:rsidTr="00DA4C4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76" w:type="dxa"/>
          </w:tcPr>
          <w:p w:rsidR="00DA4C4A" w:rsidRDefault="00971FA4">
            <w:r>
              <w:t>11</w:t>
            </w:r>
          </w:p>
        </w:tc>
        <w:tc>
          <w:tcPr>
            <w:tcW w:w="2593" w:type="dxa"/>
          </w:tcPr>
          <w:p w:rsidR="00DA4C4A" w:rsidRDefault="00971FA4">
            <w:pPr>
              <w:cnfStyle w:val="000000100000" w:firstRow="0" w:lastRow="0" w:firstColumn="0" w:lastColumn="0" w:oddVBand="0" w:evenVBand="0" w:oddHBand="1" w:evenHBand="0" w:firstRowFirstColumn="0" w:firstRowLastColumn="0" w:lastRowFirstColumn="0" w:lastRowLastColumn="0"/>
            </w:pPr>
            <w:r>
              <w:t>Swedish Orphan Biovitrum AB</w:t>
            </w:r>
          </w:p>
        </w:tc>
        <w:tc>
          <w:tcPr>
            <w:tcW w:w="2250" w:type="dxa"/>
          </w:tcPr>
          <w:p w:rsidR="00DA4C4A" w:rsidRDefault="00971FA4">
            <w:pPr>
              <w:jc w:val="center"/>
              <w:cnfStyle w:val="000000100000" w:firstRow="0" w:lastRow="0" w:firstColumn="0" w:lastColumn="0" w:oddVBand="0" w:evenVBand="0" w:oddHBand="1" w:evenHBand="0" w:firstRowFirstColumn="0" w:firstRowLastColumn="0" w:lastRowFirstColumn="0" w:lastRowLastColumn="0"/>
            </w:pPr>
            <w:r>
              <w:t>-</w:t>
            </w:r>
          </w:p>
        </w:tc>
        <w:tc>
          <w:tcPr>
            <w:tcW w:w="2292" w:type="dxa"/>
          </w:tcPr>
          <w:p w:rsidR="00DA4C4A" w:rsidRDefault="00971FA4">
            <w:pPr>
              <w:cnfStyle w:val="000000100000" w:firstRow="0" w:lastRow="0" w:firstColumn="0" w:lastColumn="0" w:oddVBand="0" w:evenVBand="0" w:oddHBand="1" w:evenHBand="0" w:firstRowFirstColumn="0" w:firstRowLastColumn="0" w:lastRowFirstColumn="0" w:lastRowLastColumn="0"/>
            </w:pPr>
            <w:r>
              <w:t>Personal Fees</w:t>
            </w:r>
          </w:p>
        </w:tc>
        <w:tc>
          <w:tcPr>
            <w:tcW w:w="948" w:type="dxa"/>
          </w:tcPr>
          <w:p w:rsidR="00DA4C4A" w:rsidRDefault="00971FA4">
            <w:pPr>
              <w:jc w:val="center"/>
              <w:cnfStyle w:val="000000100000" w:firstRow="0" w:lastRow="0" w:firstColumn="0" w:lastColumn="0" w:oddVBand="0" w:evenVBand="0" w:oddHBand="1" w:evenHBand="0" w:firstRowFirstColumn="0" w:firstRowLastColumn="0" w:lastRowFirstColumn="0" w:lastRowLastColumn="0"/>
            </w:pPr>
            <w:r>
              <w:t>-</w:t>
            </w:r>
          </w:p>
        </w:tc>
        <w:tc>
          <w:tcPr>
            <w:tcW w:w="917" w:type="dxa"/>
          </w:tcPr>
          <w:p w:rsidR="00DA4C4A" w:rsidRDefault="00971FA4">
            <w:pPr>
              <w:jc w:val="center"/>
              <w:cnfStyle w:val="000000100000" w:firstRow="0" w:lastRow="0" w:firstColumn="0" w:lastColumn="0" w:oddVBand="0" w:evenVBand="0" w:oddHBand="1" w:evenHBand="0" w:firstRowFirstColumn="0" w:firstRowLastColumn="0" w:lastRowFirstColumn="0" w:lastRowLastColumn="0"/>
            </w:pPr>
            <w:r>
              <w:t>10-Dec-2021</w:t>
            </w:r>
          </w:p>
        </w:tc>
      </w:tr>
      <w:tr w:rsidR="00DA4C4A" w:rsidTr="00DA4C4A">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76" w:type="dxa"/>
          </w:tcPr>
          <w:p w:rsidR="00DA4C4A" w:rsidRDefault="00971FA4">
            <w:r>
              <w:t>12</w:t>
            </w:r>
          </w:p>
        </w:tc>
        <w:tc>
          <w:tcPr>
            <w:tcW w:w="2593" w:type="dxa"/>
          </w:tcPr>
          <w:p w:rsidR="00DA4C4A" w:rsidRDefault="00971FA4">
            <w:pPr>
              <w:cnfStyle w:val="000000010000" w:firstRow="0" w:lastRow="0" w:firstColumn="0" w:lastColumn="0" w:oddVBand="0" w:evenVBand="0" w:oddHBand="0" w:evenHBand="1" w:firstRowFirstColumn="0" w:firstRowLastColumn="0" w:lastRowFirstColumn="0" w:lastRowLastColumn="0"/>
            </w:pPr>
            <w:r>
              <w:t>Swedish Orphan Biovitrum AB</w:t>
            </w:r>
          </w:p>
        </w:tc>
        <w:tc>
          <w:tcPr>
            <w:tcW w:w="2250" w:type="dxa"/>
          </w:tcPr>
          <w:p w:rsidR="00DA4C4A" w:rsidRDefault="00971FA4">
            <w:pPr>
              <w:jc w:val="center"/>
              <w:cnfStyle w:val="000000010000" w:firstRow="0" w:lastRow="0" w:firstColumn="0" w:lastColumn="0" w:oddVBand="0" w:evenVBand="0" w:oddHBand="0" w:evenHBand="1" w:firstRowFirstColumn="0" w:firstRowLastColumn="0" w:lastRowFirstColumn="0" w:lastRowLastColumn="0"/>
            </w:pPr>
            <w:r>
              <w:t>-</w:t>
            </w:r>
          </w:p>
        </w:tc>
        <w:tc>
          <w:tcPr>
            <w:tcW w:w="2292" w:type="dxa"/>
          </w:tcPr>
          <w:p w:rsidR="00DA4C4A" w:rsidRDefault="00971FA4">
            <w:pPr>
              <w:cnfStyle w:val="000000010000" w:firstRow="0" w:lastRow="0" w:firstColumn="0" w:lastColumn="0" w:oddVBand="0" w:evenVBand="0" w:oddHBand="0" w:evenHBand="1" w:firstRowFirstColumn="0" w:firstRowLastColumn="0" w:lastRowFirstColumn="0" w:lastRowLastColumn="0"/>
            </w:pPr>
            <w:r>
              <w:t>Consultancy Fees</w:t>
            </w:r>
          </w:p>
        </w:tc>
        <w:tc>
          <w:tcPr>
            <w:tcW w:w="948" w:type="dxa"/>
          </w:tcPr>
          <w:p w:rsidR="00DA4C4A" w:rsidRDefault="00971FA4">
            <w:pPr>
              <w:jc w:val="center"/>
              <w:cnfStyle w:val="000000010000" w:firstRow="0" w:lastRow="0" w:firstColumn="0" w:lastColumn="0" w:oddVBand="0" w:evenVBand="0" w:oddHBand="0" w:evenHBand="1" w:firstRowFirstColumn="0" w:firstRowLastColumn="0" w:lastRowFirstColumn="0" w:lastRowLastColumn="0"/>
            </w:pPr>
            <w:r>
              <w:t>-</w:t>
            </w:r>
          </w:p>
        </w:tc>
        <w:tc>
          <w:tcPr>
            <w:tcW w:w="917" w:type="dxa"/>
          </w:tcPr>
          <w:p w:rsidR="00DA4C4A" w:rsidRDefault="00971FA4">
            <w:pPr>
              <w:jc w:val="center"/>
              <w:cnfStyle w:val="000000010000" w:firstRow="0" w:lastRow="0" w:firstColumn="0" w:lastColumn="0" w:oddVBand="0" w:evenVBand="0" w:oddHBand="0" w:evenHBand="1" w:firstRowFirstColumn="0" w:firstRowLastColumn="0" w:lastRowFirstColumn="0" w:lastRowLastColumn="0"/>
            </w:pPr>
            <w:r>
              <w:t>6-Nov-2021</w:t>
            </w:r>
          </w:p>
        </w:tc>
      </w:tr>
      <w:tr w:rsidR="00DA4C4A" w:rsidTr="00DA4C4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76" w:type="dxa"/>
          </w:tcPr>
          <w:p w:rsidR="00DA4C4A" w:rsidRDefault="00971FA4">
            <w:r>
              <w:t>13</w:t>
            </w:r>
          </w:p>
        </w:tc>
        <w:tc>
          <w:tcPr>
            <w:tcW w:w="2593" w:type="dxa"/>
          </w:tcPr>
          <w:p w:rsidR="00DA4C4A" w:rsidRDefault="00971FA4">
            <w:pPr>
              <w:cnfStyle w:val="000000100000" w:firstRow="0" w:lastRow="0" w:firstColumn="0" w:lastColumn="0" w:oddVBand="0" w:evenVBand="0" w:oddHBand="1" w:evenHBand="0" w:firstRowFirstColumn="0" w:firstRowLastColumn="0" w:lastRowFirstColumn="0" w:lastRowLastColumn="0"/>
            </w:pPr>
            <w:r>
              <w:t>Swedish Orphan Biovitrum AB</w:t>
            </w:r>
          </w:p>
        </w:tc>
        <w:tc>
          <w:tcPr>
            <w:tcW w:w="2250" w:type="dxa"/>
          </w:tcPr>
          <w:p w:rsidR="00DA4C4A" w:rsidRDefault="00971FA4">
            <w:pPr>
              <w:jc w:val="center"/>
              <w:cnfStyle w:val="000000100000" w:firstRow="0" w:lastRow="0" w:firstColumn="0" w:lastColumn="0" w:oddVBand="0" w:evenVBand="0" w:oddHBand="1" w:evenHBand="0" w:firstRowFirstColumn="0" w:firstRowLastColumn="0" w:lastRowFirstColumn="0" w:lastRowLastColumn="0"/>
            </w:pPr>
            <w:r>
              <w:t>-</w:t>
            </w:r>
          </w:p>
        </w:tc>
        <w:tc>
          <w:tcPr>
            <w:tcW w:w="2292" w:type="dxa"/>
          </w:tcPr>
          <w:p w:rsidR="00DA4C4A" w:rsidRDefault="00971FA4">
            <w:pPr>
              <w:cnfStyle w:val="000000100000" w:firstRow="0" w:lastRow="0" w:firstColumn="0" w:lastColumn="0" w:oddVBand="0" w:evenVBand="0" w:oddHBand="1" w:evenHBand="0" w:firstRowFirstColumn="0" w:firstRowLastColumn="0" w:lastRowFirstColumn="0" w:lastRowLastColumn="0"/>
            </w:pPr>
            <w:r>
              <w:t>Personal Fees</w:t>
            </w:r>
          </w:p>
        </w:tc>
        <w:tc>
          <w:tcPr>
            <w:tcW w:w="948" w:type="dxa"/>
          </w:tcPr>
          <w:p w:rsidR="00DA4C4A" w:rsidRDefault="00971FA4">
            <w:pPr>
              <w:jc w:val="center"/>
              <w:cnfStyle w:val="000000100000" w:firstRow="0" w:lastRow="0" w:firstColumn="0" w:lastColumn="0" w:oddVBand="0" w:evenVBand="0" w:oddHBand="1" w:evenHBand="0" w:firstRowFirstColumn="0" w:firstRowLastColumn="0" w:lastRowFirstColumn="0" w:lastRowLastColumn="0"/>
            </w:pPr>
            <w:r>
              <w:t>-</w:t>
            </w:r>
          </w:p>
        </w:tc>
        <w:tc>
          <w:tcPr>
            <w:tcW w:w="917" w:type="dxa"/>
          </w:tcPr>
          <w:p w:rsidR="00DA4C4A" w:rsidRDefault="00971FA4">
            <w:pPr>
              <w:jc w:val="center"/>
              <w:cnfStyle w:val="000000100000" w:firstRow="0" w:lastRow="0" w:firstColumn="0" w:lastColumn="0" w:oddVBand="0" w:evenVBand="0" w:oddHBand="1" w:evenHBand="0" w:firstRowFirstColumn="0" w:firstRowLastColumn="0" w:lastRowFirstColumn="0" w:lastRowLastColumn="0"/>
            </w:pPr>
            <w:r>
              <w:t>6-Nov-2021</w:t>
            </w:r>
          </w:p>
        </w:tc>
      </w:tr>
      <w:tr w:rsidR="00DA4C4A" w:rsidTr="00DA4C4A">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76" w:type="dxa"/>
          </w:tcPr>
          <w:p w:rsidR="00DA4C4A" w:rsidRDefault="00971FA4">
            <w:r>
              <w:t>14</w:t>
            </w:r>
          </w:p>
        </w:tc>
        <w:tc>
          <w:tcPr>
            <w:tcW w:w="2593" w:type="dxa"/>
          </w:tcPr>
          <w:p w:rsidR="00DA4C4A" w:rsidRDefault="00971FA4">
            <w:pPr>
              <w:cnfStyle w:val="000000010000" w:firstRow="0" w:lastRow="0" w:firstColumn="0" w:lastColumn="0" w:oddVBand="0" w:evenVBand="0" w:oddHBand="0" w:evenHBand="1" w:firstRowFirstColumn="0" w:firstRowLastColumn="0" w:lastRowFirstColumn="0" w:lastRowLastColumn="0"/>
            </w:pPr>
            <w:r>
              <w:t>Swedish Orphan Biovitrum AB</w:t>
            </w:r>
          </w:p>
        </w:tc>
        <w:tc>
          <w:tcPr>
            <w:tcW w:w="2250" w:type="dxa"/>
          </w:tcPr>
          <w:p w:rsidR="00DA4C4A" w:rsidRDefault="00971FA4">
            <w:pPr>
              <w:cnfStyle w:val="000000010000" w:firstRow="0" w:lastRow="0" w:firstColumn="0" w:lastColumn="0" w:oddVBand="0" w:evenVBand="0" w:oddHBand="0" w:evenHBand="1" w:firstRowFirstColumn="0" w:firstRowLastColumn="0" w:lastRowFirstColumn="0" w:lastRowLastColumn="0"/>
            </w:pPr>
            <w:r>
              <w:t>Speaker’s Bureau</w:t>
            </w:r>
          </w:p>
        </w:tc>
        <w:tc>
          <w:tcPr>
            <w:tcW w:w="2292" w:type="dxa"/>
          </w:tcPr>
          <w:p w:rsidR="00DA4C4A" w:rsidRDefault="00971FA4">
            <w:pPr>
              <w:jc w:val="center"/>
              <w:cnfStyle w:val="000000010000" w:firstRow="0" w:lastRow="0" w:firstColumn="0" w:lastColumn="0" w:oddVBand="0" w:evenVBand="0" w:oddHBand="0" w:evenHBand="1" w:firstRowFirstColumn="0" w:firstRowLastColumn="0" w:lastRowFirstColumn="0" w:lastRowLastColumn="0"/>
            </w:pPr>
            <w:r>
              <w:t>-</w:t>
            </w:r>
          </w:p>
        </w:tc>
        <w:tc>
          <w:tcPr>
            <w:tcW w:w="948" w:type="dxa"/>
          </w:tcPr>
          <w:p w:rsidR="00DA4C4A" w:rsidRDefault="00971FA4">
            <w:pPr>
              <w:jc w:val="center"/>
              <w:cnfStyle w:val="000000010000" w:firstRow="0" w:lastRow="0" w:firstColumn="0" w:lastColumn="0" w:oddVBand="0" w:evenVBand="0" w:oddHBand="0" w:evenHBand="1" w:firstRowFirstColumn="0" w:firstRowLastColumn="0" w:lastRowFirstColumn="0" w:lastRowLastColumn="0"/>
            </w:pPr>
            <w:r>
              <w:t>-</w:t>
            </w:r>
          </w:p>
        </w:tc>
        <w:tc>
          <w:tcPr>
            <w:tcW w:w="917" w:type="dxa"/>
          </w:tcPr>
          <w:p w:rsidR="00DA4C4A" w:rsidRDefault="00971FA4">
            <w:pPr>
              <w:jc w:val="center"/>
              <w:cnfStyle w:val="000000010000" w:firstRow="0" w:lastRow="0" w:firstColumn="0" w:lastColumn="0" w:oddVBand="0" w:evenVBand="0" w:oddHBand="0" w:evenHBand="1" w:firstRowFirstColumn="0" w:firstRowLastColumn="0" w:lastRowFirstColumn="0" w:lastRowLastColumn="0"/>
            </w:pPr>
            <w:r>
              <w:t>6-Aug-2021</w:t>
            </w:r>
          </w:p>
        </w:tc>
      </w:tr>
      <w:tr w:rsidR="00DA4C4A" w:rsidTr="00DA4C4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76" w:type="dxa"/>
          </w:tcPr>
          <w:p w:rsidR="00DA4C4A" w:rsidRDefault="00971FA4">
            <w:r>
              <w:t>15</w:t>
            </w:r>
          </w:p>
        </w:tc>
        <w:tc>
          <w:tcPr>
            <w:tcW w:w="2593" w:type="dxa"/>
          </w:tcPr>
          <w:p w:rsidR="00DA4C4A" w:rsidRDefault="00971FA4">
            <w:pPr>
              <w:cnfStyle w:val="000000100000" w:firstRow="0" w:lastRow="0" w:firstColumn="0" w:lastColumn="0" w:oddVBand="0" w:evenVBand="0" w:oddHBand="1" w:evenHBand="0" w:firstRowFirstColumn="0" w:firstRowLastColumn="0" w:lastRowFirstColumn="0" w:lastRowLastColumn="0"/>
            </w:pPr>
            <w:r>
              <w:t>Novartis AG</w:t>
            </w:r>
          </w:p>
        </w:tc>
        <w:tc>
          <w:tcPr>
            <w:tcW w:w="2250" w:type="dxa"/>
          </w:tcPr>
          <w:p w:rsidR="00DA4C4A" w:rsidRDefault="00971FA4">
            <w:pPr>
              <w:jc w:val="center"/>
              <w:cnfStyle w:val="000000100000" w:firstRow="0" w:lastRow="0" w:firstColumn="0" w:lastColumn="0" w:oddVBand="0" w:evenVBand="0" w:oddHBand="1" w:evenHBand="0" w:firstRowFirstColumn="0" w:firstRowLastColumn="0" w:lastRowFirstColumn="0" w:lastRowLastColumn="0"/>
            </w:pPr>
            <w:r>
              <w:t>-</w:t>
            </w:r>
          </w:p>
        </w:tc>
        <w:tc>
          <w:tcPr>
            <w:tcW w:w="2292" w:type="dxa"/>
          </w:tcPr>
          <w:p w:rsidR="00DA4C4A" w:rsidRDefault="00971FA4">
            <w:pPr>
              <w:cnfStyle w:val="000000100000" w:firstRow="0" w:lastRow="0" w:firstColumn="0" w:lastColumn="0" w:oddVBand="0" w:evenVBand="0" w:oddHBand="1" w:evenHBand="0" w:firstRowFirstColumn="0" w:firstRowLastColumn="0" w:lastRowFirstColumn="0" w:lastRowLastColumn="0"/>
            </w:pPr>
            <w:r>
              <w:t>Consultancy Fees</w:t>
            </w:r>
          </w:p>
        </w:tc>
        <w:tc>
          <w:tcPr>
            <w:tcW w:w="948" w:type="dxa"/>
          </w:tcPr>
          <w:p w:rsidR="00DA4C4A" w:rsidRDefault="00971FA4">
            <w:pPr>
              <w:jc w:val="center"/>
              <w:cnfStyle w:val="000000100000" w:firstRow="0" w:lastRow="0" w:firstColumn="0" w:lastColumn="0" w:oddVBand="0" w:evenVBand="0" w:oddHBand="1" w:evenHBand="0" w:firstRowFirstColumn="0" w:firstRowLastColumn="0" w:lastRowFirstColumn="0" w:lastRowLastColumn="0"/>
            </w:pPr>
            <w:r>
              <w:t>-</w:t>
            </w:r>
          </w:p>
        </w:tc>
        <w:tc>
          <w:tcPr>
            <w:tcW w:w="917" w:type="dxa"/>
          </w:tcPr>
          <w:p w:rsidR="00DA4C4A" w:rsidRDefault="00971FA4">
            <w:pPr>
              <w:jc w:val="center"/>
              <w:cnfStyle w:val="000000100000" w:firstRow="0" w:lastRow="0" w:firstColumn="0" w:lastColumn="0" w:oddVBand="0" w:evenVBand="0" w:oddHBand="1" w:evenHBand="0" w:firstRowFirstColumn="0" w:firstRowLastColumn="0" w:lastRowFirstColumn="0" w:lastRowLastColumn="0"/>
            </w:pPr>
            <w:r>
              <w:t>1-Jan-2021</w:t>
            </w:r>
          </w:p>
        </w:tc>
      </w:tr>
      <w:tr w:rsidR="00DA4C4A" w:rsidTr="00DA4C4A">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76" w:type="dxa"/>
          </w:tcPr>
          <w:p w:rsidR="00DA4C4A" w:rsidRDefault="00971FA4">
            <w:r>
              <w:t>16</w:t>
            </w:r>
          </w:p>
        </w:tc>
        <w:tc>
          <w:tcPr>
            <w:tcW w:w="2593" w:type="dxa"/>
          </w:tcPr>
          <w:p w:rsidR="00DA4C4A" w:rsidRDefault="00971FA4">
            <w:pPr>
              <w:cnfStyle w:val="000000010000" w:firstRow="0" w:lastRow="0" w:firstColumn="0" w:lastColumn="0" w:oddVBand="0" w:evenVBand="0" w:oddHBand="0" w:evenHBand="1" w:firstRowFirstColumn="0" w:firstRowLastColumn="0" w:lastRowFirstColumn="0" w:lastRowLastColumn="0"/>
            </w:pPr>
            <w:r>
              <w:t>Incyte Corporation</w:t>
            </w:r>
          </w:p>
        </w:tc>
        <w:tc>
          <w:tcPr>
            <w:tcW w:w="2250" w:type="dxa"/>
          </w:tcPr>
          <w:p w:rsidR="00DA4C4A" w:rsidRDefault="00971FA4">
            <w:pPr>
              <w:jc w:val="center"/>
              <w:cnfStyle w:val="000000010000" w:firstRow="0" w:lastRow="0" w:firstColumn="0" w:lastColumn="0" w:oddVBand="0" w:evenVBand="0" w:oddHBand="0" w:evenHBand="1" w:firstRowFirstColumn="0" w:firstRowLastColumn="0" w:lastRowFirstColumn="0" w:lastRowLastColumn="0"/>
            </w:pPr>
            <w:r>
              <w:t>-</w:t>
            </w:r>
          </w:p>
        </w:tc>
        <w:tc>
          <w:tcPr>
            <w:tcW w:w="2292" w:type="dxa"/>
          </w:tcPr>
          <w:p w:rsidR="00DA4C4A" w:rsidRDefault="00971FA4">
            <w:pPr>
              <w:cnfStyle w:val="000000010000" w:firstRow="0" w:lastRow="0" w:firstColumn="0" w:lastColumn="0" w:oddVBand="0" w:evenVBand="0" w:oddHBand="0" w:evenHBand="1" w:firstRowFirstColumn="0" w:firstRowLastColumn="0" w:lastRowFirstColumn="0" w:lastRowLastColumn="0"/>
            </w:pPr>
            <w:r>
              <w:t>Personal Fees</w:t>
            </w:r>
          </w:p>
        </w:tc>
        <w:tc>
          <w:tcPr>
            <w:tcW w:w="948" w:type="dxa"/>
          </w:tcPr>
          <w:p w:rsidR="00DA4C4A" w:rsidRDefault="00971FA4">
            <w:pPr>
              <w:jc w:val="center"/>
              <w:cnfStyle w:val="000000010000" w:firstRow="0" w:lastRow="0" w:firstColumn="0" w:lastColumn="0" w:oddVBand="0" w:evenVBand="0" w:oddHBand="0" w:evenHBand="1" w:firstRowFirstColumn="0" w:firstRowLastColumn="0" w:lastRowFirstColumn="0" w:lastRowLastColumn="0"/>
            </w:pPr>
            <w:r>
              <w:t>-</w:t>
            </w:r>
          </w:p>
        </w:tc>
        <w:tc>
          <w:tcPr>
            <w:tcW w:w="917" w:type="dxa"/>
          </w:tcPr>
          <w:p w:rsidR="00DA4C4A" w:rsidRDefault="00971FA4">
            <w:pPr>
              <w:jc w:val="center"/>
              <w:cnfStyle w:val="000000010000" w:firstRow="0" w:lastRow="0" w:firstColumn="0" w:lastColumn="0" w:oddVBand="0" w:evenVBand="0" w:oddHBand="0" w:evenHBand="1" w:firstRowFirstColumn="0" w:firstRowLastColumn="0" w:lastRowFirstColumn="0" w:lastRowLastColumn="0"/>
            </w:pPr>
            <w:r>
              <w:t>4-Jun-2020</w:t>
            </w:r>
          </w:p>
        </w:tc>
      </w:tr>
      <w:tr w:rsidR="00DA4C4A" w:rsidTr="00DA4C4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76" w:type="dxa"/>
          </w:tcPr>
          <w:p w:rsidR="00DA4C4A" w:rsidRDefault="00971FA4">
            <w:r>
              <w:t>17</w:t>
            </w:r>
          </w:p>
        </w:tc>
        <w:tc>
          <w:tcPr>
            <w:tcW w:w="2593" w:type="dxa"/>
          </w:tcPr>
          <w:p w:rsidR="00DA4C4A" w:rsidRDefault="00971FA4">
            <w:pPr>
              <w:cnfStyle w:val="000000100000" w:firstRow="0" w:lastRow="0" w:firstColumn="0" w:lastColumn="0" w:oddVBand="0" w:evenVBand="0" w:oddHBand="1" w:evenHBand="0" w:firstRowFirstColumn="0" w:firstRowLastColumn="0" w:lastRowFirstColumn="0" w:lastRowLastColumn="0"/>
            </w:pPr>
            <w:r>
              <w:t>Shire plc</w:t>
            </w:r>
          </w:p>
        </w:tc>
        <w:tc>
          <w:tcPr>
            <w:tcW w:w="2250" w:type="dxa"/>
          </w:tcPr>
          <w:p w:rsidR="00DA4C4A" w:rsidRDefault="00971FA4">
            <w:pPr>
              <w:jc w:val="center"/>
              <w:cnfStyle w:val="000000100000" w:firstRow="0" w:lastRow="0" w:firstColumn="0" w:lastColumn="0" w:oddVBand="0" w:evenVBand="0" w:oddHBand="1" w:evenHBand="0" w:firstRowFirstColumn="0" w:firstRowLastColumn="0" w:lastRowFirstColumn="0" w:lastRowLastColumn="0"/>
            </w:pPr>
            <w:r>
              <w:t>-</w:t>
            </w:r>
          </w:p>
        </w:tc>
        <w:tc>
          <w:tcPr>
            <w:tcW w:w="2292" w:type="dxa"/>
          </w:tcPr>
          <w:p w:rsidR="00DA4C4A" w:rsidRDefault="00971FA4">
            <w:pPr>
              <w:cnfStyle w:val="000000100000" w:firstRow="0" w:lastRow="0" w:firstColumn="0" w:lastColumn="0" w:oddVBand="0" w:evenVBand="0" w:oddHBand="1" w:evenHBand="0" w:firstRowFirstColumn="0" w:firstRowLastColumn="0" w:lastRowFirstColumn="0" w:lastRowLastColumn="0"/>
            </w:pPr>
            <w:r>
              <w:t>Personal Fees</w:t>
            </w:r>
          </w:p>
        </w:tc>
        <w:tc>
          <w:tcPr>
            <w:tcW w:w="948" w:type="dxa"/>
          </w:tcPr>
          <w:p w:rsidR="00DA4C4A" w:rsidRDefault="00971FA4">
            <w:pPr>
              <w:jc w:val="center"/>
              <w:cnfStyle w:val="000000100000" w:firstRow="0" w:lastRow="0" w:firstColumn="0" w:lastColumn="0" w:oddVBand="0" w:evenVBand="0" w:oddHBand="1" w:evenHBand="0" w:firstRowFirstColumn="0" w:firstRowLastColumn="0" w:lastRowFirstColumn="0" w:lastRowLastColumn="0"/>
            </w:pPr>
            <w:r>
              <w:t>-</w:t>
            </w:r>
          </w:p>
        </w:tc>
        <w:tc>
          <w:tcPr>
            <w:tcW w:w="917" w:type="dxa"/>
          </w:tcPr>
          <w:p w:rsidR="00DA4C4A" w:rsidRDefault="00971FA4">
            <w:pPr>
              <w:jc w:val="center"/>
              <w:cnfStyle w:val="000000100000" w:firstRow="0" w:lastRow="0" w:firstColumn="0" w:lastColumn="0" w:oddVBand="0" w:evenVBand="0" w:oddHBand="1" w:evenHBand="0" w:firstRowFirstColumn="0" w:firstRowLastColumn="0" w:lastRowFirstColumn="0" w:lastRowLastColumn="0"/>
            </w:pPr>
            <w:r>
              <w:t>23-Aug-2018</w:t>
            </w:r>
          </w:p>
        </w:tc>
      </w:tr>
      <w:tr w:rsidR="00DA4C4A" w:rsidTr="00DA4C4A">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76" w:type="dxa"/>
          </w:tcPr>
          <w:p w:rsidR="00DA4C4A" w:rsidRDefault="00971FA4">
            <w:r>
              <w:t>18</w:t>
            </w:r>
          </w:p>
        </w:tc>
        <w:tc>
          <w:tcPr>
            <w:tcW w:w="2593" w:type="dxa"/>
          </w:tcPr>
          <w:p w:rsidR="00DA4C4A" w:rsidRDefault="00971FA4">
            <w:pPr>
              <w:cnfStyle w:val="000000010000" w:firstRow="0" w:lastRow="0" w:firstColumn="0" w:lastColumn="0" w:oddVBand="0" w:evenVBand="0" w:oddHBand="0" w:evenHBand="1" w:firstRowFirstColumn="0" w:firstRowLastColumn="0" w:lastRowFirstColumn="0" w:lastRowLastColumn="0"/>
            </w:pPr>
            <w:r>
              <w:t>Horizon Therapeutics plc</w:t>
            </w:r>
          </w:p>
        </w:tc>
        <w:tc>
          <w:tcPr>
            <w:tcW w:w="2250" w:type="dxa"/>
          </w:tcPr>
          <w:p w:rsidR="00DA4C4A" w:rsidRDefault="00971FA4">
            <w:pPr>
              <w:jc w:val="center"/>
              <w:cnfStyle w:val="000000010000" w:firstRow="0" w:lastRow="0" w:firstColumn="0" w:lastColumn="0" w:oddVBand="0" w:evenVBand="0" w:oddHBand="0" w:evenHBand="1" w:firstRowFirstColumn="0" w:firstRowLastColumn="0" w:lastRowFirstColumn="0" w:lastRowLastColumn="0"/>
            </w:pPr>
            <w:r>
              <w:t>-</w:t>
            </w:r>
          </w:p>
        </w:tc>
        <w:tc>
          <w:tcPr>
            <w:tcW w:w="2292" w:type="dxa"/>
          </w:tcPr>
          <w:p w:rsidR="00DA4C4A" w:rsidRDefault="00971FA4">
            <w:pPr>
              <w:cnfStyle w:val="000000010000" w:firstRow="0" w:lastRow="0" w:firstColumn="0" w:lastColumn="0" w:oddVBand="0" w:evenVBand="0" w:oddHBand="0" w:evenHBand="1" w:firstRowFirstColumn="0" w:firstRowLastColumn="0" w:lastRowFirstColumn="0" w:lastRowLastColumn="0"/>
            </w:pPr>
            <w:r>
              <w:t>Personal Fees</w:t>
            </w:r>
          </w:p>
        </w:tc>
        <w:tc>
          <w:tcPr>
            <w:tcW w:w="948" w:type="dxa"/>
          </w:tcPr>
          <w:p w:rsidR="00DA4C4A" w:rsidRDefault="00971FA4">
            <w:pPr>
              <w:jc w:val="center"/>
              <w:cnfStyle w:val="000000010000" w:firstRow="0" w:lastRow="0" w:firstColumn="0" w:lastColumn="0" w:oddVBand="0" w:evenVBand="0" w:oddHBand="0" w:evenHBand="1" w:firstRowFirstColumn="0" w:firstRowLastColumn="0" w:lastRowFirstColumn="0" w:lastRowLastColumn="0"/>
            </w:pPr>
            <w:r>
              <w:t>-</w:t>
            </w:r>
          </w:p>
        </w:tc>
        <w:tc>
          <w:tcPr>
            <w:tcW w:w="917" w:type="dxa"/>
          </w:tcPr>
          <w:p w:rsidR="00DA4C4A" w:rsidRDefault="00971FA4">
            <w:pPr>
              <w:jc w:val="center"/>
              <w:cnfStyle w:val="000000010000" w:firstRow="0" w:lastRow="0" w:firstColumn="0" w:lastColumn="0" w:oddVBand="0" w:evenVBand="0" w:oddHBand="0" w:evenHBand="1" w:firstRowFirstColumn="0" w:firstRowLastColumn="0" w:lastRowFirstColumn="0" w:lastRowLastColumn="0"/>
            </w:pPr>
            <w:r>
              <w:t>9-May-2018</w:t>
            </w:r>
          </w:p>
        </w:tc>
      </w:tr>
      <w:tr w:rsidR="00DA4C4A" w:rsidTr="00DA4C4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76" w:type="dxa"/>
          </w:tcPr>
          <w:p w:rsidR="00DA4C4A" w:rsidRDefault="00971FA4">
            <w:r>
              <w:t>19</w:t>
            </w:r>
          </w:p>
        </w:tc>
        <w:tc>
          <w:tcPr>
            <w:tcW w:w="2593" w:type="dxa"/>
          </w:tcPr>
          <w:p w:rsidR="00DA4C4A" w:rsidRDefault="00971FA4">
            <w:pPr>
              <w:cnfStyle w:val="000000100000" w:firstRow="0" w:lastRow="0" w:firstColumn="0" w:lastColumn="0" w:oddVBand="0" w:evenVBand="0" w:oddHBand="1" w:evenHBand="0" w:firstRowFirstColumn="0" w:firstRowLastColumn="0" w:lastRowFirstColumn="0" w:lastRowLastColumn="0"/>
            </w:pPr>
            <w:r>
              <w:t>Grifols, S.A</w:t>
            </w:r>
          </w:p>
        </w:tc>
        <w:tc>
          <w:tcPr>
            <w:tcW w:w="2250" w:type="dxa"/>
          </w:tcPr>
          <w:p w:rsidR="00DA4C4A" w:rsidRDefault="00971FA4">
            <w:pPr>
              <w:jc w:val="center"/>
              <w:cnfStyle w:val="000000100000" w:firstRow="0" w:lastRow="0" w:firstColumn="0" w:lastColumn="0" w:oddVBand="0" w:evenVBand="0" w:oddHBand="1" w:evenHBand="0" w:firstRowFirstColumn="0" w:firstRowLastColumn="0" w:lastRowFirstColumn="0" w:lastRowLastColumn="0"/>
            </w:pPr>
            <w:r>
              <w:t>-</w:t>
            </w:r>
          </w:p>
        </w:tc>
        <w:tc>
          <w:tcPr>
            <w:tcW w:w="2292" w:type="dxa"/>
          </w:tcPr>
          <w:p w:rsidR="00DA4C4A" w:rsidRDefault="00971FA4">
            <w:pPr>
              <w:cnfStyle w:val="000000100000" w:firstRow="0" w:lastRow="0" w:firstColumn="0" w:lastColumn="0" w:oddVBand="0" w:evenVBand="0" w:oddHBand="1" w:evenHBand="0" w:firstRowFirstColumn="0" w:firstRowLastColumn="0" w:lastRowFirstColumn="0" w:lastRowLastColumn="0"/>
            </w:pPr>
            <w:r>
              <w:t>Personal Fees</w:t>
            </w:r>
          </w:p>
        </w:tc>
        <w:tc>
          <w:tcPr>
            <w:tcW w:w="948" w:type="dxa"/>
          </w:tcPr>
          <w:p w:rsidR="00DA4C4A" w:rsidRDefault="00971FA4">
            <w:pPr>
              <w:jc w:val="center"/>
              <w:cnfStyle w:val="000000100000" w:firstRow="0" w:lastRow="0" w:firstColumn="0" w:lastColumn="0" w:oddVBand="0" w:evenVBand="0" w:oddHBand="1" w:evenHBand="0" w:firstRowFirstColumn="0" w:firstRowLastColumn="0" w:lastRowFirstColumn="0" w:lastRowLastColumn="0"/>
            </w:pPr>
            <w:r>
              <w:t>-</w:t>
            </w:r>
          </w:p>
        </w:tc>
        <w:tc>
          <w:tcPr>
            <w:tcW w:w="917" w:type="dxa"/>
          </w:tcPr>
          <w:p w:rsidR="00DA4C4A" w:rsidRDefault="00971FA4">
            <w:pPr>
              <w:jc w:val="center"/>
              <w:cnfStyle w:val="000000100000" w:firstRow="0" w:lastRow="0" w:firstColumn="0" w:lastColumn="0" w:oddVBand="0" w:evenVBand="0" w:oddHBand="1" w:evenHBand="0" w:firstRowFirstColumn="0" w:firstRowLastColumn="0" w:lastRowFirstColumn="0" w:lastRowLastColumn="0"/>
            </w:pPr>
            <w:r>
              <w:t>8-Aug-2017</w:t>
            </w:r>
          </w:p>
        </w:tc>
      </w:tr>
      <w:tr w:rsidR="00DA4C4A" w:rsidTr="00DA4C4A">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76" w:type="dxa"/>
          </w:tcPr>
          <w:p w:rsidR="00DA4C4A" w:rsidRDefault="00971FA4">
            <w:r>
              <w:t>20</w:t>
            </w:r>
          </w:p>
        </w:tc>
        <w:tc>
          <w:tcPr>
            <w:tcW w:w="2593" w:type="dxa"/>
          </w:tcPr>
          <w:p w:rsidR="00DA4C4A" w:rsidRDefault="00971FA4">
            <w:pPr>
              <w:cnfStyle w:val="000000010000" w:firstRow="0" w:lastRow="0" w:firstColumn="0" w:lastColumn="0" w:oddVBand="0" w:evenVBand="0" w:oddHBand="0" w:evenHBand="1" w:firstRowFirstColumn="0" w:firstRowLastColumn="0" w:lastRowFirstColumn="0" w:lastRowLastColumn="0"/>
            </w:pPr>
            <w:r>
              <w:t>Jazz Pharmaceuticals, Inc.</w:t>
            </w:r>
          </w:p>
        </w:tc>
        <w:tc>
          <w:tcPr>
            <w:tcW w:w="2250" w:type="dxa"/>
          </w:tcPr>
          <w:p w:rsidR="00DA4C4A" w:rsidRDefault="00971FA4">
            <w:pPr>
              <w:jc w:val="center"/>
              <w:cnfStyle w:val="000000010000" w:firstRow="0" w:lastRow="0" w:firstColumn="0" w:lastColumn="0" w:oddVBand="0" w:evenVBand="0" w:oddHBand="0" w:evenHBand="1" w:firstRowFirstColumn="0" w:firstRowLastColumn="0" w:lastRowFirstColumn="0" w:lastRowLastColumn="0"/>
            </w:pPr>
            <w:r>
              <w:t>-</w:t>
            </w:r>
          </w:p>
        </w:tc>
        <w:tc>
          <w:tcPr>
            <w:tcW w:w="2292" w:type="dxa"/>
          </w:tcPr>
          <w:p w:rsidR="00DA4C4A" w:rsidRDefault="00971FA4">
            <w:pPr>
              <w:cnfStyle w:val="000000010000" w:firstRow="0" w:lastRow="0" w:firstColumn="0" w:lastColumn="0" w:oddVBand="0" w:evenVBand="0" w:oddHBand="0" w:evenHBand="1" w:firstRowFirstColumn="0" w:firstRowLastColumn="0" w:lastRowFirstColumn="0" w:lastRowLastColumn="0"/>
            </w:pPr>
            <w:r>
              <w:t>Personal Fees</w:t>
            </w:r>
          </w:p>
        </w:tc>
        <w:tc>
          <w:tcPr>
            <w:tcW w:w="948" w:type="dxa"/>
          </w:tcPr>
          <w:p w:rsidR="00DA4C4A" w:rsidRDefault="00971FA4">
            <w:pPr>
              <w:jc w:val="center"/>
              <w:cnfStyle w:val="000000010000" w:firstRow="0" w:lastRow="0" w:firstColumn="0" w:lastColumn="0" w:oddVBand="0" w:evenVBand="0" w:oddHBand="0" w:evenHBand="1" w:firstRowFirstColumn="0" w:firstRowLastColumn="0" w:lastRowFirstColumn="0" w:lastRowLastColumn="0"/>
            </w:pPr>
            <w:r>
              <w:t>-</w:t>
            </w:r>
          </w:p>
        </w:tc>
        <w:tc>
          <w:tcPr>
            <w:tcW w:w="917" w:type="dxa"/>
          </w:tcPr>
          <w:p w:rsidR="00DA4C4A" w:rsidRDefault="00971FA4">
            <w:pPr>
              <w:jc w:val="center"/>
              <w:cnfStyle w:val="000000010000" w:firstRow="0" w:lastRow="0" w:firstColumn="0" w:lastColumn="0" w:oddVBand="0" w:evenVBand="0" w:oddHBand="0" w:evenHBand="1" w:firstRowFirstColumn="0" w:firstRowLastColumn="0" w:lastRowFirstColumn="0" w:lastRowLastColumn="0"/>
            </w:pPr>
            <w:r>
              <w:t>2-Mar-2017</w:t>
            </w:r>
          </w:p>
        </w:tc>
      </w:tr>
    </w:tbl>
    <w:p w:rsidR="00164ED9" w:rsidRPr="003129F9" w:rsidRDefault="00164ED9" w:rsidP="00763471">
      <w:pPr>
        <w:spacing w:after="0" w:line="240" w:lineRule="auto"/>
        <w:rPr>
          <w:rFonts w:ascii="Arial" w:hAnsi="Arial" w:cs="Arial"/>
          <w:sz w:val="18"/>
          <w:szCs w:val="18"/>
        </w:rPr>
      </w:pPr>
    </w:p>
    <w:tbl>
      <w:tblPr>
        <w:tblStyle w:val="MediumShading1-Accent1"/>
        <w:tblW w:w="5000" w:type="pct"/>
        <w:tblLayout w:type="fixed"/>
        <w:tblLook w:val="04A0" w:firstRow="1" w:lastRow="0" w:firstColumn="1" w:lastColumn="0" w:noHBand="0" w:noVBand="1"/>
      </w:tblPr>
      <w:tblGrid>
        <w:gridCol w:w="642"/>
        <w:gridCol w:w="8934"/>
      </w:tblGrid>
      <w:tr w:rsidR="0097780E" w:rsidTr="0097780E">
        <w:trPr>
          <w:cnfStyle w:val="100000000000" w:firstRow="1" w:lastRow="0" w:firstColumn="0" w:lastColumn="0" w:oddVBand="0" w:evenVBand="0" w:oddHBand="0" w:evenHBand="0" w:firstRowFirstColumn="0" w:firstRowLastColumn="0" w:lastRowFirstColumn="0" w:lastRowLastColumn="0"/>
          <w:cantSplit/>
          <w:trHeight w:val="288"/>
          <w:tblHeader/>
        </w:trPr>
        <w:tc>
          <w:tcPr>
            <w:cnfStyle w:val="001000000000" w:firstRow="0" w:lastRow="0" w:firstColumn="1" w:lastColumn="0" w:oddVBand="0" w:evenVBand="0" w:oddHBand="0" w:evenHBand="0" w:firstRowFirstColumn="0" w:firstRowLastColumn="0" w:lastRowFirstColumn="0" w:lastRowLastColumn="0"/>
            <w:tcW w:w="5000" w:type="pct"/>
            <w:gridSpan w:val="2"/>
          </w:tcPr>
          <w:p w:rsidR="0097780E" w:rsidRDefault="0097780E" w:rsidP="0097780E">
            <w:pPr>
              <w:pStyle w:val="11TableHeader"/>
              <w:rPr>
                <w:rFonts w:ascii="Arial" w:hAnsi="Arial" w:cs="Arial"/>
                <w:sz w:val="18"/>
                <w:szCs w:val="18"/>
              </w:rPr>
            </w:pPr>
            <w:r w:rsidRPr="0097780E">
              <w:t>Publications</w:t>
            </w:r>
          </w:p>
        </w:tc>
      </w:tr>
      <w:tr w:rsidR="0097780E" w:rsidTr="006C1CCB">
        <w:trPr>
          <w:cnfStyle w:val="100000000000" w:firstRow="1" w:lastRow="0" w:firstColumn="0" w:lastColumn="0" w:oddVBand="0" w:evenVBand="0" w:oddHBand="0" w:evenHBand="0" w:firstRowFirstColumn="0" w:firstRowLastColumn="0" w:lastRowFirstColumn="0" w:lastRowLastColumn="0"/>
          <w:cantSplit/>
          <w:trHeight w:val="296"/>
          <w:tblHeader/>
        </w:trPr>
        <w:tc>
          <w:tcPr>
            <w:cnfStyle w:val="001000000000" w:firstRow="0" w:lastRow="0" w:firstColumn="1" w:lastColumn="0" w:oddVBand="0" w:evenVBand="0" w:oddHBand="0" w:evenHBand="0" w:firstRowFirstColumn="0" w:firstRowLastColumn="0" w:lastRowFirstColumn="0" w:lastRowLastColumn="0"/>
            <w:tcW w:w="335" w:type="pct"/>
            <w:shd w:val="clear" w:color="auto" w:fill="91ADD7"/>
          </w:tcPr>
          <w:p w:rsidR="0097780E" w:rsidRPr="0097780E" w:rsidRDefault="0097780E" w:rsidP="0097780E">
            <w:pPr>
              <w:pStyle w:val="11TableHeader"/>
              <w:rPr>
                <w:color w:val="000000"/>
                <w:sz w:val="18"/>
              </w:rPr>
            </w:pPr>
            <w:proofErr w:type="spellStart"/>
            <w:r w:rsidRPr="0097780E">
              <w:rPr>
                <w:color w:val="000000"/>
                <w:sz w:val="18"/>
              </w:rPr>
              <w:t>S.No</w:t>
            </w:r>
            <w:proofErr w:type="spellEnd"/>
          </w:p>
        </w:tc>
        <w:tc>
          <w:tcPr>
            <w:tcW w:w="4665" w:type="pct"/>
            <w:shd w:val="clear" w:color="auto" w:fill="91ADD7"/>
          </w:tcPr>
          <w:p w:rsidR="0097780E" w:rsidRPr="0097780E" w:rsidRDefault="0097780E" w:rsidP="007634B0">
            <w:pPr>
              <w:pStyle w:val="12TableTitle"/>
              <w:cnfStyle w:val="100000000000" w:firstRow="1" w:lastRow="0" w:firstColumn="0" w:lastColumn="0" w:oddVBand="0" w:evenVBand="0" w:oddHBand="0" w:evenHBand="0" w:firstRowFirstColumn="0" w:firstRowLastColumn="0" w:lastRowFirstColumn="0" w:lastRowLastColumn="0"/>
              <w:rPr>
                <w:color w:val="000000"/>
                <w:sz w:val="18"/>
              </w:rPr>
            </w:pPr>
            <w:proofErr w:type="spellStart"/>
            <w:r w:rsidRPr="0097780E">
              <w:rPr>
                <w:color w:val="000000"/>
                <w:sz w:val="18"/>
              </w:rPr>
              <w:t>Pubmed</w:t>
            </w:r>
            <w:proofErr w:type="spellEnd"/>
            <w:r w:rsidRPr="0097780E">
              <w:rPr>
                <w:color w:val="000000"/>
                <w:sz w:val="18"/>
              </w:rPr>
              <w:t xml:space="preserve"> </w:t>
            </w:r>
            <w:r w:rsidR="00751888">
              <w:rPr>
                <w:color w:val="000000"/>
                <w:sz w:val="18"/>
              </w:rPr>
              <w:t xml:space="preserve">ID, Authors, Article Title, </w:t>
            </w:r>
            <w:r w:rsidR="007B0ED5">
              <w:rPr>
                <w:color w:val="000000"/>
                <w:sz w:val="18"/>
              </w:rPr>
              <w:t xml:space="preserve">Publication Date (DEP), Publication </w:t>
            </w:r>
            <w:r w:rsidR="007B0ED5" w:rsidRPr="007B0ED5">
              <w:rPr>
                <w:color w:val="000000"/>
                <w:sz w:val="18"/>
              </w:rPr>
              <w:t>Date (DP)</w:t>
            </w:r>
            <w:r w:rsidRPr="0097780E">
              <w:rPr>
                <w:color w:val="000000"/>
                <w:sz w:val="18"/>
              </w:rPr>
              <w:t xml:space="preserve">, Journal Name, </w:t>
            </w:r>
            <w:proofErr w:type="spellStart"/>
            <w:r w:rsidRPr="0097780E">
              <w:rPr>
                <w:color w:val="000000"/>
                <w:sz w:val="18"/>
              </w:rPr>
              <w:t>Vol_Issue</w:t>
            </w:r>
            <w:proofErr w:type="spellEnd"/>
            <w:r w:rsidRPr="0097780E">
              <w:rPr>
                <w:color w:val="000000"/>
                <w:sz w:val="18"/>
              </w:rPr>
              <w:t>, Article Type</w:t>
            </w:r>
          </w:p>
        </w:tc>
      </w:tr>
      <w:tr w:rsidR="00DA4C4A" w:rsidTr="00DA4C4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DA4C4A" w:rsidRDefault="00971FA4">
            <w:r>
              <w:t>1</w:t>
            </w:r>
          </w:p>
        </w:tc>
        <w:tc>
          <w:tcPr>
            <w:tcW w:w="8934" w:type="dxa"/>
          </w:tcPr>
          <w:p w:rsidR="00DA4C4A" w:rsidRDefault="00971FA4">
            <w:pPr>
              <w:cnfStyle w:val="000000100000" w:firstRow="0" w:lastRow="0" w:firstColumn="0" w:lastColumn="0" w:oddVBand="0" w:evenVBand="0" w:oddHBand="1" w:evenHBand="0" w:firstRowFirstColumn="0" w:firstRowLastColumn="0" w:lastRowFirstColumn="0" w:lastRowLastColumn="0"/>
            </w:pPr>
            <w:hyperlink r:id="rId12">
              <w:r>
                <w:rPr>
                  <w:color w:val="0000FF" w:themeColor="hyperlink"/>
                  <w:u w:val="single"/>
                </w:rPr>
                <w:t>39140311</w:t>
              </w:r>
            </w:hyperlink>
            <w:r>
              <w:t xml:space="preserve"> ['Durkee-Shock J', 'Cohen A', 'Maghzian N', 'Pezzella G', 'Jensen-Wachspress M', 'Hostal A', 'Barton K', 'Gangler K', '</w:t>
            </w:r>
            <w:r>
              <w:rPr>
                <w:b/>
                <w:u w:val="single"/>
              </w:rPr>
              <w:t>Dávila Saldaña BJ</w:t>
            </w:r>
            <w:r>
              <w:t>', 'Chaimongkol N', 'Bollard CM', 'Sosnovtsev SV', 'C</w:t>
            </w:r>
            <w:r>
              <w:t>ohen J', 'Nagata BM', 'Alves DA', 'Ghosh R', 'Seifert BA', 'Freeman A', 'Gonzalez C', 'Notarangelo LD', 'Green KY', 'Keller MD'], Reconstitution of Norovirus-Specific T-Cell Responses Following Hematopoietic Stem Cell Transplantation in Patients With Inbor</w:t>
            </w:r>
            <w:r>
              <w:t>n Errors of Immunity and Chronic Norovirus Infection, 17-Mar-2025, The Journal of infectious diseases, 231(3):773-783</w:t>
            </w:r>
          </w:p>
        </w:tc>
      </w:tr>
      <w:tr w:rsidR="00DA4C4A" w:rsidTr="00DA4C4A">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DA4C4A" w:rsidRDefault="00971FA4">
            <w:r>
              <w:t>2</w:t>
            </w:r>
          </w:p>
        </w:tc>
        <w:tc>
          <w:tcPr>
            <w:tcW w:w="8934" w:type="dxa"/>
          </w:tcPr>
          <w:p w:rsidR="00DA4C4A" w:rsidRDefault="00971FA4">
            <w:pPr>
              <w:cnfStyle w:val="000000010000" w:firstRow="0" w:lastRow="0" w:firstColumn="0" w:lastColumn="0" w:oddVBand="0" w:evenVBand="0" w:oddHBand="0" w:evenHBand="1" w:firstRowFirstColumn="0" w:firstRowLastColumn="0" w:lastRowFirstColumn="0" w:lastRowLastColumn="0"/>
            </w:pPr>
            <w:hyperlink r:id="rId13">
              <w:r>
                <w:rPr>
                  <w:color w:val="0000FF" w:themeColor="hyperlink"/>
                  <w:u w:val="single"/>
                </w:rPr>
                <w:t>39855565</w:t>
              </w:r>
            </w:hyperlink>
            <w:r>
              <w:t xml:space="preserve"> ['</w:t>
            </w:r>
            <w:r>
              <w:rPr>
                <w:b/>
                <w:u w:val="single"/>
              </w:rPr>
              <w:t>Dávila Saldaña BJ</w:t>
            </w:r>
            <w:r>
              <w:t>', 'Schultz KR', 'Ramgopal A', 'Boiko JR', 'Bee</w:t>
            </w:r>
            <w:r>
              <w:t>be K', 'Carpenter PA', 'Chan SS', 'Paczesny S', 'Aguayo-Hiraldo P', 'Cuvelier GDE', 'Rotz SJ', 'Duncan CN', 'Williams KM'], Pediatric Transplant and Cellular Therapy Consortium RESILIENT Conference on Pediatric Chronic Graft-versus-Host Disease Survivorshi</w:t>
            </w:r>
            <w:r>
              <w:t xml:space="preserve">p after Hematopoietic Cell Transplantation: Part II. Organ Dysfunction and Immune Reconstitution Considerations for Children with Chronic Graft-versus-Host Disease after Hematopoietic Cell Transplantation, 22-Jan-2025, 22-Jan-2025, Transplantation and </w:t>
            </w:r>
            <w:r>
              <w:lastRenderedPageBreak/>
              <w:t>cell</w:t>
            </w:r>
            <w:r>
              <w:t>ular therapy</w:t>
            </w:r>
          </w:p>
        </w:tc>
      </w:tr>
      <w:tr w:rsidR="00DA4C4A" w:rsidTr="00DA4C4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DA4C4A" w:rsidRDefault="00971FA4">
            <w:r>
              <w:lastRenderedPageBreak/>
              <w:t>3</w:t>
            </w:r>
          </w:p>
        </w:tc>
        <w:tc>
          <w:tcPr>
            <w:tcW w:w="8934" w:type="dxa"/>
          </w:tcPr>
          <w:p w:rsidR="00DA4C4A" w:rsidRDefault="00971FA4">
            <w:pPr>
              <w:cnfStyle w:val="000000100000" w:firstRow="0" w:lastRow="0" w:firstColumn="0" w:lastColumn="0" w:oddVBand="0" w:evenVBand="0" w:oddHBand="1" w:evenHBand="0" w:firstRowFirstColumn="0" w:firstRowLastColumn="0" w:lastRowFirstColumn="0" w:lastRowLastColumn="0"/>
            </w:pPr>
            <w:hyperlink r:id="rId14">
              <w:r>
                <w:rPr>
                  <w:color w:val="0000FF" w:themeColor="hyperlink"/>
                  <w:u w:val="single"/>
                </w:rPr>
                <w:t>39792639</w:t>
              </w:r>
            </w:hyperlink>
            <w:r>
              <w:t xml:space="preserve"> ['Bosticardo M', 'Dobbs K', 'Delmonte OM', 'Martins AJ', 'Pala F', 'Kawai T', 'Kenney H', 'Magro G', 'Rosen LB', 'Yamazaki Y', 'Yu HH', 'Calzoni E', 'Lee YN', 'Liu C', 'St</w:t>
            </w:r>
            <w:r>
              <w:t xml:space="preserve">oddard J', 'Niemela J', 'Fink D', 'Castagnoli R', 'Ramba M', 'Cheng A', 'Riley D', 'Oikonomou V', 'Shaw E', 'Belaid B', 'Keles S', 'Al-Herz W', 'Cancrini C', 'Cifaldi C', 'Baris S', 'Sharapova S', 'Schuetz C', 'Gennery AR', 'Freeman AF', 'Somech R', 'Choo </w:t>
            </w:r>
            <w:r>
              <w:t>S', 'Giliani SC', 'Güngör T', 'Drozdov D', 'Meyts I', 'Moshous D', 'Neven B', 'Abraham RS', 'El-Marsafy A', 'Kanariou M', 'King A', 'Licciardi F', 'Cruz-Muñoz ME', 'Palma P', 'Poli C', 'Adeli M', 'Algeri M', 'Alroqi FJ', 'Bastard P', 'Bergerson JRE', 'Boot</w:t>
            </w:r>
            <w:r>
              <w:t>h C', 'Brett A', 'Burns SO', 'Butte MJ', 'Padem N', 'de la Morena M', 'Dbaibo G', 'de Ravin SS', 'Dimitrova D', 'Djidjik R', 'Dorna MB', 'Dutmer CM', 'Elfeky R', 'Facchetti F', 'Fuleihan RL', 'Geha RS', 'Gonzalez-Granado LI', 'Haljasmägi L', 'Ale H', 'Hayw</w:t>
            </w:r>
            <w:r>
              <w:t>ard A', 'Hifanova AM', 'Ip W', 'Kaplan B', 'Kapoor N', 'Karakoc-Aydiner E', 'Kärner J', 'Keller MD', '</w:t>
            </w:r>
            <w:r>
              <w:rPr>
                <w:b/>
                <w:u w:val="single"/>
              </w:rPr>
              <w:t>Dávila Saldaña BJ</w:t>
            </w:r>
            <w:r>
              <w:t>', 'Kiykim A', 'Kuijpers TW', 'Kuznetsova EE', 'Latysheva EA', 'Leiding JW', 'Locatelli F', 'Alva-Lozada G', 'McCusker C', 'Celmeli F', '</w:t>
            </w:r>
            <w:r>
              <w:t>Morsheimer M', 'Ozen A', 'Parvaneh N', 'Pasic S', 'Plebani A', 'Preece K', 'Prockop S', 'Sakovich IS', 'Starkova EE', 'Torgerson T', 'Verbsky J', 'Walter JE', 'Ward B', 'Wisner EL', 'Draper D', 'Myint-Hpu K', 'Truong PM', 'Lionakis MS', 'Similuk MB', 'Walk</w:t>
            </w:r>
            <w:r>
              <w:t>iewicz MA', 'Klion A', 'Holland SM', 'Oguz C', 'Bogunovic D', 'Kisand K', 'Su HC', 'Tsang JS', 'Kuhns D', 'Villa A', 'Rosenzweig SD', 'Pittaluga S', 'Notarangelo LD'], Multiomics dissection of human RAG deficiency reveals distinctive patterns of immune dys</w:t>
            </w:r>
            <w:r>
              <w:t>regulation but a common inflammatory signature, 10-Jan-2025, 10-Jan-2025, Science immunology, 10(103):eadq1697</w:t>
            </w:r>
          </w:p>
        </w:tc>
      </w:tr>
      <w:tr w:rsidR="00DA4C4A" w:rsidTr="00DA4C4A">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DA4C4A" w:rsidRDefault="00971FA4">
            <w:r>
              <w:t>4</w:t>
            </w:r>
          </w:p>
        </w:tc>
        <w:tc>
          <w:tcPr>
            <w:tcW w:w="8934" w:type="dxa"/>
          </w:tcPr>
          <w:p w:rsidR="00DA4C4A" w:rsidRDefault="00971FA4">
            <w:pPr>
              <w:cnfStyle w:val="000000010000" w:firstRow="0" w:lastRow="0" w:firstColumn="0" w:lastColumn="0" w:oddVBand="0" w:evenVBand="0" w:oddHBand="0" w:evenHBand="1" w:firstRowFirstColumn="0" w:firstRowLastColumn="0" w:lastRowFirstColumn="0" w:lastRowLastColumn="0"/>
            </w:pPr>
            <w:hyperlink r:id="rId15">
              <w:r>
                <w:rPr>
                  <w:color w:val="0000FF" w:themeColor="hyperlink"/>
                  <w:u w:val="single"/>
                </w:rPr>
                <w:t>39069111</w:t>
              </w:r>
            </w:hyperlink>
            <w:r>
              <w:t xml:space="preserve"> ['Cheng J', '</w:t>
            </w:r>
            <w:r>
              <w:rPr>
                <w:b/>
                <w:u w:val="single"/>
              </w:rPr>
              <w:t>Dávila Saldaña BJ</w:t>
            </w:r>
            <w:r>
              <w:t>', 'Chandrakasan S', 'Keller M'], Pediatric</w:t>
            </w:r>
            <w:r>
              <w:t xml:space="preserve"> lymphoproliferative disorders associated with inborn errors of immunity, Sep-2024, 26-Jul-2024, Clinical immunology (Orlando, Fla.), 266:110332</w:t>
            </w:r>
          </w:p>
        </w:tc>
      </w:tr>
      <w:tr w:rsidR="00DA4C4A" w:rsidTr="00DA4C4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DA4C4A" w:rsidRDefault="00971FA4">
            <w:r>
              <w:t>5</w:t>
            </w:r>
          </w:p>
        </w:tc>
        <w:tc>
          <w:tcPr>
            <w:tcW w:w="8934" w:type="dxa"/>
          </w:tcPr>
          <w:p w:rsidR="00DA4C4A" w:rsidRDefault="00971FA4">
            <w:pPr>
              <w:cnfStyle w:val="000000100000" w:firstRow="0" w:lastRow="0" w:firstColumn="0" w:lastColumn="0" w:oddVBand="0" w:evenVBand="0" w:oddHBand="1" w:evenHBand="0" w:firstRowFirstColumn="0" w:firstRowLastColumn="0" w:lastRowFirstColumn="0" w:lastRowLastColumn="0"/>
            </w:pPr>
            <w:hyperlink r:id="rId16">
              <w:r>
                <w:rPr>
                  <w:color w:val="0000FF" w:themeColor="hyperlink"/>
                  <w:u w:val="single"/>
                </w:rPr>
                <w:t>38429096</w:t>
              </w:r>
            </w:hyperlink>
            <w:r>
              <w:t xml:space="preserve"> ['Chandrakasan S', 'Jordan MB', 'Baker </w:t>
            </w:r>
            <w:r>
              <w:t>A', 'Behrens EM', 'Bhatla D', 'Chien M', 'Eckstein OS', 'Henry MM', 'Hermiston ML', 'Hinson AP', 'Leiding JW', 'Oladapo A', 'Patel SA', 'Pednekar P', 'Ray AK', '</w:t>
            </w:r>
            <w:r>
              <w:rPr>
                <w:b/>
                <w:u w:val="single"/>
              </w:rPr>
              <w:t>Dávila Saldaña B</w:t>
            </w:r>
            <w:r>
              <w:t>', 'Sarangi SN', 'Walkovich KJ', 'Yee JD', 'Zoref-Lorenz A', 'Allen CE'], Real-</w:t>
            </w:r>
            <w:r>
              <w:t>world treatment patterns and outcomes in patients with primary hemophagocytic lymphohistiocytosis treated with emapalumab, 14-May-2024, Blood advances, 8(9):2248-2258</w:t>
            </w:r>
          </w:p>
        </w:tc>
      </w:tr>
      <w:tr w:rsidR="00DA4C4A" w:rsidTr="00DA4C4A">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DA4C4A" w:rsidRDefault="00971FA4">
            <w:r>
              <w:t>6</w:t>
            </w:r>
          </w:p>
        </w:tc>
        <w:tc>
          <w:tcPr>
            <w:tcW w:w="8934" w:type="dxa"/>
          </w:tcPr>
          <w:p w:rsidR="00DA4C4A" w:rsidRDefault="00971FA4">
            <w:pPr>
              <w:cnfStyle w:val="000000010000" w:firstRow="0" w:lastRow="0" w:firstColumn="0" w:lastColumn="0" w:oddVBand="0" w:evenVBand="0" w:oddHBand="0" w:evenHBand="1" w:firstRowFirstColumn="0" w:firstRowLastColumn="0" w:lastRowFirstColumn="0" w:lastRowLastColumn="0"/>
            </w:pPr>
            <w:hyperlink r:id="rId17">
              <w:r>
                <w:rPr>
                  <w:color w:val="0000FF" w:themeColor="hyperlink"/>
                  <w:u w:val="single"/>
                </w:rPr>
                <w:t>38290608</w:t>
              </w:r>
            </w:hyperlink>
            <w:r>
              <w:t xml:space="preserve"> ['Grunebaum E', 'Arnold DE', 'Logan B', 'Parikh S', 'Marsh RA', 'Griffith LM', 'Mallhi K', 'Chellapandian D', 'Lim SS', 'Deal CL', 'Kapoor N', 'Murguía-Favela L', 'Falcone EL', 'Prasad VK', 'Touzot F', 'Bleesing JJ', 'Chandrakasan S', 'Heimall JR', 'Bedna</w:t>
            </w:r>
            <w:r>
              <w:t>rski JJ', 'Broglie LA', 'Chong HJ', 'Kapadia M', 'Prockop S', '</w:t>
            </w:r>
            <w:r>
              <w:rPr>
                <w:b/>
                <w:u w:val="single"/>
              </w:rPr>
              <w:t>Dávila Saldaña BJ</w:t>
            </w:r>
            <w:r>
              <w:t>', 'Schaefer E', 'Bauchat AL', 'Teira P', 'Chandra S', 'Parta M', 'Cowan MJ', 'Dvorak CC', 'Haddad E', 'Kohn DB', 'Notarangelo LD', 'Pai SY', 'Puck JM', 'Pulsipher MA', 'Torger</w:t>
            </w:r>
            <w:r>
              <w:t xml:space="preserve">son TR', 'Malech HL', 'Kang EM', 'Leiding JW'], Allogeneic hematopoietic cell transplantation is effective for p47phox chronic granulomatous disease: A Primary Immune Deficiency Treatment Consortium study, May-2024, 28-Jan-2024, The Journal of allergy and </w:t>
            </w:r>
            <w:r>
              <w:t>clinical immunology, 153(5):1423-1431.e2</w:t>
            </w:r>
          </w:p>
        </w:tc>
      </w:tr>
      <w:tr w:rsidR="00DA4C4A" w:rsidTr="00DA4C4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DA4C4A" w:rsidRDefault="00971FA4">
            <w:r>
              <w:t>7</w:t>
            </w:r>
          </w:p>
        </w:tc>
        <w:tc>
          <w:tcPr>
            <w:tcW w:w="8934" w:type="dxa"/>
          </w:tcPr>
          <w:p w:rsidR="00DA4C4A" w:rsidRDefault="00971FA4">
            <w:pPr>
              <w:cnfStyle w:val="000000100000" w:firstRow="0" w:lastRow="0" w:firstColumn="0" w:lastColumn="0" w:oddVBand="0" w:evenVBand="0" w:oddHBand="1" w:evenHBand="0" w:firstRowFirstColumn="0" w:firstRowLastColumn="0" w:lastRowFirstColumn="0" w:lastRowLastColumn="0"/>
            </w:pPr>
            <w:hyperlink r:id="rId18">
              <w:r>
                <w:rPr>
                  <w:color w:val="0000FF" w:themeColor="hyperlink"/>
                  <w:u w:val="single"/>
                </w:rPr>
                <w:t>38367737</w:t>
              </w:r>
            </w:hyperlink>
            <w:r>
              <w:t xml:space="preserve"> ['Abraham RS', 'Basu A', 'Heimall JR', 'Dunn E', 'Yip A', 'Kapadia M', 'Kapoor N', 'Satter LF', 'Buckley R', "O'Reilly R", 'Cuvelier GDE', 'Chandra S', 'Bednarski J', 'Chaudhury S', 'Moore TB', 'Haines H', '</w:t>
            </w:r>
            <w:r>
              <w:rPr>
                <w:b/>
                <w:u w:val="single"/>
              </w:rPr>
              <w:t>Dávila Saldaña BJ</w:t>
            </w:r>
            <w:r>
              <w:t>', 'Chellapandian D', 'Rayes A'</w:t>
            </w:r>
            <w:r>
              <w:t xml:space="preserve">, 'Chen K', 'Caywood E', 'Chandrakasan S', 'Lugt MTV', 'Ebens C', 'Teira P', 'Shereck E', 'Miller H', 'Aquino V', 'Eissa H', 'Yu LC', 'Gillio A', 'Madden L', 'Knutsen A', 'Shah AJ', 'DeSantes K', 'Barnum J', 'Broglie L', 'Joshi AY', 'Kleiner G', 'Dara J', </w:t>
            </w:r>
            <w:r>
              <w:t>'Prockop S', 'Martinez C', 'Mousallem T', 'Oved J', 'Burroughs L', 'Marsh R', 'Torgerson TR', 'Leiding JW', 'Pai SY', 'Kohn DB', 'Pulsipher MA', 'Griffith LM', 'Notarangelo LD', 'Cowan MJ', 'Puck J', 'Dvorak CC', 'Haddad E'], Relevance of lymphocyte prolif</w:t>
            </w:r>
            <w:r>
              <w:t>eration to PHA in severe combined immunodeficiency (SCID) and T cell lymphopenia, Apr-2024, 15-Feb-2024, Clinical immunology (Orlando, Fla.), 261:109942</w:t>
            </w:r>
          </w:p>
        </w:tc>
      </w:tr>
      <w:tr w:rsidR="00DA4C4A" w:rsidTr="00DA4C4A">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DA4C4A" w:rsidRDefault="00971FA4">
            <w:r>
              <w:t>8</w:t>
            </w:r>
          </w:p>
        </w:tc>
        <w:tc>
          <w:tcPr>
            <w:tcW w:w="8934" w:type="dxa"/>
          </w:tcPr>
          <w:p w:rsidR="00DA4C4A" w:rsidRDefault="00971FA4">
            <w:pPr>
              <w:cnfStyle w:val="000000010000" w:firstRow="0" w:lastRow="0" w:firstColumn="0" w:lastColumn="0" w:oddVBand="0" w:evenVBand="0" w:oddHBand="0" w:evenHBand="1" w:firstRowFirstColumn="0" w:firstRowLastColumn="0" w:lastRowFirstColumn="0" w:lastRowLastColumn="0"/>
            </w:pPr>
            <w:hyperlink r:id="rId19">
              <w:r>
                <w:rPr>
                  <w:color w:val="0000FF" w:themeColor="hyperlink"/>
                  <w:u w:val="single"/>
                </w:rPr>
                <w:t>37793572</w:t>
              </w:r>
            </w:hyperlink>
            <w:r>
              <w:t xml:space="preserve"> ['Eissa H', 'Thakar MS', 'Shah </w:t>
            </w:r>
            <w:r>
              <w:t>AJ', 'Logan BR', 'Griffith LM', 'Dong H', 'Parrott RE', "O'Reilly RJ", 'Dara J', 'Kapoor N', 'Forbes Satter L', 'Chandra S', 'Kapadia M', 'Chandrakasan S', 'Knutsen A', 'Jyonouchi SC', 'Molinari L', 'Rayes A', 'Ebens CL', 'Teira P', '</w:t>
            </w:r>
            <w:r>
              <w:rPr>
                <w:b/>
                <w:u w:val="single"/>
              </w:rPr>
              <w:t>Dávila Saldaña BJ</w:t>
            </w:r>
            <w:r>
              <w:t>', 'B</w:t>
            </w:r>
            <w:r>
              <w:t>urroughs LM', 'Chaudhury S', 'Chellapandian D', 'Gillio AP', 'Goldman F', 'Malech HL', 'DeSantes K', 'Cuvelier GDE', 'Rozmus J', 'Quinones R', 'Yu LC', 'Broglie L', 'Aquino V', 'Shereck E', 'Moore TB', 'Vander Lugt MT', 'Mousallem TI', 'Oved JH', 'Dorsey M</w:t>
            </w:r>
            <w:r>
              <w:t>', 'Abdel-Azim H', 'Martinez C', 'Bleesing JH', 'Prockop S', 'Kohn DB', 'Bednarski JJ', 'Leiding J', 'Marsh RA', 'Torgerson T', 'Notarangelo LD', 'Pai SY', 'Pulsipher MA', 'Puck JM', 'Dvorak CC', 'Haddad E', 'Buckley RH', 'Cowan MJ', 'Heimall J'], Posttran</w:t>
            </w:r>
            <w:r>
              <w:t>splantation late complications increase over time for patients with SCID: A Primary Immune Deficiency Treatment Consortium (PIDTC) landmark study, Jan-2024, 2-Oct-2023, The Journal of allergy and clinical immunology, 153(1):287-296</w:t>
            </w:r>
          </w:p>
        </w:tc>
      </w:tr>
      <w:tr w:rsidR="00DA4C4A" w:rsidTr="00DA4C4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DA4C4A" w:rsidRDefault="00971FA4">
            <w:r>
              <w:t>9</w:t>
            </w:r>
          </w:p>
        </w:tc>
        <w:tc>
          <w:tcPr>
            <w:tcW w:w="8934" w:type="dxa"/>
          </w:tcPr>
          <w:p w:rsidR="00DA4C4A" w:rsidRDefault="00971FA4">
            <w:pPr>
              <w:cnfStyle w:val="000000100000" w:firstRow="0" w:lastRow="0" w:firstColumn="0" w:lastColumn="0" w:oddVBand="0" w:evenVBand="0" w:oddHBand="1" w:evenHBand="0" w:firstRowFirstColumn="0" w:firstRowLastColumn="0" w:lastRowFirstColumn="0" w:lastRowLastColumn="0"/>
            </w:pPr>
            <w:hyperlink r:id="rId20">
              <w:r>
                <w:rPr>
                  <w:color w:val="0000FF" w:themeColor="hyperlink"/>
                  <w:u w:val="single"/>
                </w:rPr>
                <w:t>37562003</w:t>
              </w:r>
            </w:hyperlink>
            <w:r>
              <w:t xml:space="preserve"> ['Leiding JW', 'Arnold DE', 'Parikh S', 'Logan B', 'Marsh RA', 'Griffith LM', 'Wu R', 'Kidd S', 'Mallhi K', 'Chellapandian D', 'Si Lim SJ', 'Grunebaum E', 'Falcone EL', 'Murguia-Favela L', 'Grossman D', 'Pras</w:t>
            </w:r>
            <w:r>
              <w:t xml:space="preserve">ad VK', 'Heimall JR', 'Touzot F', 'Burroughs LM', 'Bleesing J', 'Kapoor N', 'Dara J', 'Williams O', 'Kapadia M', 'Oshrine BR', 'Bednarski JJ', 'Rayes A', 'Chong H', 'Cuvelier GDE', 'Forbes Satter LR', 'Martinez C', 'Vander Lugt MT', 'Yu LC', 'Chandrakasan </w:t>
            </w:r>
            <w:r>
              <w:t>S', 'Joshi A', 'Prockop SE', '</w:t>
            </w:r>
            <w:r>
              <w:rPr>
                <w:b/>
                <w:u w:val="single"/>
              </w:rPr>
              <w:t>Dávila Saldaña BJ</w:t>
            </w:r>
            <w:r>
              <w:t>', 'Aquino V', 'Broglie LA', 'Ebens CL', 'Madden LM', 'DeSantes K', 'Milner J', 'Rangarajan HG', 'Shah AJ', 'Gillio AP', 'Knutsen AP', 'Miller HK', 'Moore TB', 'Graham P', 'Bauchat A', 'Bunin NJ', 'Teira P', '</w:t>
            </w:r>
            <w:r>
              <w:t xml:space="preserve">Petrovic A', 'Chandra S', 'Abdel-Azim H', 'Dorsey MJ', 'Birbrayer O', 'Cowan MJ', 'Dvorak CC', 'Haddad E', 'Kohn DB', 'Notarangelo </w:t>
            </w:r>
            <w:r>
              <w:lastRenderedPageBreak/>
              <w:t>LD', 'Pai SY', 'Puck JM', 'Pulsipher MA', 'Torgerson TR', 'Malech HL', 'Kang EM'], Genotype, oxidase status, and preceding in</w:t>
            </w:r>
            <w:r>
              <w:t>fection or autoinflammation do not affect allogeneic HCT outcomes for CGD, 14-Dec-2023, Blood, 142(24):2105-2118</w:t>
            </w:r>
          </w:p>
        </w:tc>
      </w:tr>
      <w:tr w:rsidR="00DA4C4A" w:rsidTr="00DA4C4A">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DA4C4A" w:rsidRDefault="00971FA4">
            <w:r>
              <w:lastRenderedPageBreak/>
              <w:t>10</w:t>
            </w:r>
          </w:p>
        </w:tc>
        <w:tc>
          <w:tcPr>
            <w:tcW w:w="8934" w:type="dxa"/>
          </w:tcPr>
          <w:p w:rsidR="00DA4C4A" w:rsidRDefault="00971FA4">
            <w:pPr>
              <w:cnfStyle w:val="000000010000" w:firstRow="0" w:lastRow="0" w:firstColumn="0" w:lastColumn="0" w:oddVBand="0" w:evenVBand="0" w:oddHBand="0" w:evenHBand="1" w:firstRowFirstColumn="0" w:firstRowLastColumn="0" w:lastRowFirstColumn="0" w:lastRowLastColumn="0"/>
            </w:pPr>
            <w:hyperlink r:id="rId21">
              <w:r>
                <w:rPr>
                  <w:color w:val="0000FF" w:themeColor="hyperlink"/>
                  <w:u w:val="single"/>
                </w:rPr>
                <w:t>37550789</w:t>
              </w:r>
            </w:hyperlink>
            <w:r>
              <w:t xml:space="preserve"> ['Xie VX', 'File W', 'Wiedl C', 'Ward BR', '</w:t>
            </w:r>
            <w:r>
              <w:rPr>
                <w:b/>
                <w:u w:val="single"/>
              </w:rPr>
              <w:t>Saldaña BD</w:t>
            </w:r>
            <w:r>
              <w:t xml:space="preserve">', 'Keller MD', </w:t>
            </w:r>
            <w:r>
              <w:t>'Kornbluh AB'], Myelin oligodendrocyte glycoprotein antibody-associated disease as a novel presentation of central nervous system autoimmunity in a pediatric patient with Wiskott-Aldrich syndrome, 7-Aug-2023, 7-Aug-2023, Allergy, asthma, and clinical immun</w:t>
            </w:r>
            <w:r>
              <w:t>ology : official journal of the Canadian Society of Allergy and Clinical Immunology, 19(1):68</w:t>
            </w:r>
          </w:p>
        </w:tc>
      </w:tr>
      <w:tr w:rsidR="00DA4C4A" w:rsidTr="00DA4C4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DA4C4A" w:rsidRDefault="00971FA4">
            <w:r>
              <w:t>11</w:t>
            </w:r>
          </w:p>
        </w:tc>
        <w:tc>
          <w:tcPr>
            <w:tcW w:w="8934" w:type="dxa"/>
          </w:tcPr>
          <w:p w:rsidR="00DA4C4A" w:rsidRDefault="00971FA4">
            <w:pPr>
              <w:cnfStyle w:val="000000100000" w:firstRow="0" w:lastRow="0" w:firstColumn="0" w:lastColumn="0" w:oddVBand="0" w:evenVBand="0" w:oddHBand="1" w:evenHBand="0" w:firstRowFirstColumn="0" w:firstRowLastColumn="0" w:lastRowFirstColumn="0" w:lastRowLastColumn="0"/>
            </w:pPr>
            <w:hyperlink r:id="rId22">
              <w:r>
                <w:rPr>
                  <w:color w:val="0000FF" w:themeColor="hyperlink"/>
                  <w:u w:val="single"/>
                </w:rPr>
                <w:t>37352885</w:t>
              </w:r>
            </w:hyperlink>
            <w:r>
              <w:t xml:space="preserve"> ['Thakar MS', 'Logan BR', 'Puck JM', 'Dunn EA', 'Buckley RH', 'Cowan MJ', "O'Reilly RJ", </w:t>
            </w:r>
            <w:r>
              <w:t>'Kapoor N', 'Satter LF', 'Pai SY', 'Heimall J', 'Chandra S', 'Ebens CL', 'Chellapandian D', 'Williams O', 'Burroughs LM', 'Saldana BD', 'Rayes A', 'Madden LM', 'Chandrakasan S', 'Bednarski JJ 2nd', 'DeSantes KB', 'Cuvelier GDE', 'Teira P', 'Gillio AP', 'Ei</w:t>
            </w:r>
            <w:r>
              <w:t>ssa H', 'Knutsen AP', 'Goldman FD', 'Aquino VM', 'Shereck EB', 'Moore TB', 'Caywood EH', 'Lugt MTV', 'Rozmus J', 'Broglie L', 'Yu LC', 'Shah AJ', 'Andolina JR', 'Liu X', 'Parrott RE', 'Dara J', 'Prockop S', 'Martinez CA', 'Kapadia M', 'Jyonouchi SC', 'Sull</w:t>
            </w:r>
            <w:r>
              <w:t>ivan KE', 'Bleesing JJ', 'Chaudhury S', 'Petrovic A', 'Keller MD', 'Quigg TC', 'Parikh S', 'Shenoy S', 'Seroogy C', 'Rubin T', 'Decaluwe H', 'Routes JM', 'Torgerson TR', 'Leiding JW', 'Pulsipher MA', 'Kohn DB', 'Griffith LM', 'Haddad E', 'Dvorak CC', 'Nota</w:t>
            </w:r>
            <w:r>
              <w:t>rangelo LD'], Measuring the effect of newborn screening on survival after haematopoietic cell transplantation for severe combined immunodeficiency: a 36-year longitudinal study from the Primary Immune Deficiency Treatment Consortium, 8-Jul-2023, 20-Jun-202</w:t>
            </w:r>
            <w:r>
              <w:t>3, Lancet (London, England), 402(10396):129-140</w:t>
            </w:r>
            <w:r>
              <w:rPr>
                <w:b/>
                <w:u w:val="single"/>
              </w:rPr>
              <w:t>Saldaña BD</w:t>
            </w:r>
          </w:p>
        </w:tc>
      </w:tr>
      <w:tr w:rsidR="00DA4C4A" w:rsidTr="00DA4C4A">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DA4C4A" w:rsidRDefault="00971FA4">
            <w:r>
              <w:t>12</w:t>
            </w:r>
          </w:p>
        </w:tc>
        <w:tc>
          <w:tcPr>
            <w:tcW w:w="8934" w:type="dxa"/>
          </w:tcPr>
          <w:p w:rsidR="00DA4C4A" w:rsidRDefault="00971FA4">
            <w:pPr>
              <w:cnfStyle w:val="000000010000" w:firstRow="0" w:lastRow="0" w:firstColumn="0" w:lastColumn="0" w:oddVBand="0" w:evenVBand="0" w:oddHBand="0" w:evenHBand="1" w:firstRowFirstColumn="0" w:firstRowLastColumn="0" w:lastRowFirstColumn="0" w:lastRowLastColumn="0"/>
            </w:pPr>
            <w:hyperlink r:id="rId23">
              <w:r>
                <w:rPr>
                  <w:color w:val="0000FF" w:themeColor="hyperlink"/>
                  <w:u w:val="single"/>
                </w:rPr>
                <w:t>36516084</w:t>
              </w:r>
            </w:hyperlink>
            <w:r>
              <w:t xml:space="preserve"> ['Kinoshita H', 'Mandava M', 'Jensen-Wachspress M', 'Lang H', 'Joy E', 'Tanna J', 'McCann CD', "O'Brien S", 'Burnett S', 'Shi</w:t>
            </w:r>
            <w:r>
              <w:t>bli A', 'Hoq F', 'Bhatia M', 'Hanley PJ', '</w:t>
            </w:r>
            <w:r>
              <w:rPr>
                <w:b/>
                <w:u w:val="single"/>
              </w:rPr>
              <w:t>Dávila Saldaña B</w:t>
            </w:r>
            <w:r>
              <w:t>', 'Mahadeo KM', 'Bollard CM', 'Keller MD', 'Abraham A'], Outcomes following posttransplant virus-specific T-cell therapy in patients with sickle cell disease, 23-May-2023, Blood advances, 7(10):21</w:t>
            </w:r>
            <w:r>
              <w:t>05-2116</w:t>
            </w:r>
          </w:p>
        </w:tc>
      </w:tr>
      <w:tr w:rsidR="00DA4C4A" w:rsidTr="00DA4C4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DA4C4A" w:rsidRDefault="00971FA4">
            <w:r>
              <w:t>13</w:t>
            </w:r>
          </w:p>
        </w:tc>
        <w:tc>
          <w:tcPr>
            <w:tcW w:w="8934" w:type="dxa"/>
          </w:tcPr>
          <w:p w:rsidR="00DA4C4A" w:rsidRDefault="00971FA4">
            <w:pPr>
              <w:cnfStyle w:val="000000100000" w:firstRow="0" w:lastRow="0" w:firstColumn="0" w:lastColumn="0" w:oddVBand="0" w:evenVBand="0" w:oddHBand="1" w:evenHBand="0" w:firstRowFirstColumn="0" w:firstRowLastColumn="0" w:lastRowFirstColumn="0" w:lastRowLastColumn="0"/>
            </w:pPr>
            <w:hyperlink r:id="rId24">
              <w:r>
                <w:rPr>
                  <w:color w:val="0000FF" w:themeColor="hyperlink"/>
                  <w:u w:val="single"/>
                </w:rPr>
                <w:t>36456360</w:t>
              </w:r>
            </w:hyperlink>
            <w:r>
              <w:t xml:space="preserve"> ['Dvorak CC', 'Haddad E', 'Heimall J', 'Dunn E', 'Cowan MJ', 'Pai SY', 'Kapoor N', 'Satter LF', 'Buckley RH', "O'Reilly RJ", 'Chandra S', 'Bednarski JJ', 'Williams O', 'Rayes </w:t>
            </w:r>
            <w:r>
              <w:t>A', 'Moore TB', 'Ebens CL', '</w:t>
            </w:r>
            <w:r>
              <w:rPr>
                <w:b/>
                <w:u w:val="single"/>
              </w:rPr>
              <w:t>Davila Saldana BJ</w:t>
            </w:r>
            <w:r>
              <w:t>', 'Petrovic A', 'Chellapandian D', 'Cuvelier GDE', 'Vander Lugt MT', 'Caywood EH', 'Chandrakasan S', 'Eissa H', 'Goldman FD', 'Shereck E', 'Aquino VM', 'Desantes KB', 'Madden LM', 'Miller HK', 'Yu L', 'Broglie</w:t>
            </w:r>
            <w:r>
              <w:t xml:space="preserve"> L', 'Gillio A', 'Shah AJ', 'Knutsen AP', 'Andolina JP', 'Joshi AY', 'Szabolcs P', 'Kapadia M', 'Martinez CA', 'Parrot RE', 'Sullivan KE', 'Prockop SE', 'Abraham RS', 'Thakar MS', 'Leiding JW', 'Kohn DB', 'Pulsipher MA', 'Griffith LM', 'Notarangelo LD', 'P</w:t>
            </w:r>
            <w:r>
              <w:t>uck JM'], The diagnosis of severe combined immunodeficiency: Implementation of the PIDTC 2022 Definitions, Feb-2023, 28-Nov-2022, The Journal of allergy and clinical immunology, 151(2):547-555.e5</w:t>
            </w:r>
          </w:p>
        </w:tc>
      </w:tr>
      <w:tr w:rsidR="00DA4C4A" w:rsidTr="00DA4C4A">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DA4C4A" w:rsidRDefault="00971FA4">
            <w:r>
              <w:t>14</w:t>
            </w:r>
          </w:p>
        </w:tc>
        <w:tc>
          <w:tcPr>
            <w:tcW w:w="8934" w:type="dxa"/>
          </w:tcPr>
          <w:p w:rsidR="00DA4C4A" w:rsidRDefault="00971FA4">
            <w:pPr>
              <w:cnfStyle w:val="000000010000" w:firstRow="0" w:lastRow="0" w:firstColumn="0" w:lastColumn="0" w:oddVBand="0" w:evenVBand="0" w:oddHBand="0" w:evenHBand="1" w:firstRowFirstColumn="0" w:firstRowLastColumn="0" w:lastRowFirstColumn="0" w:lastRowLastColumn="0"/>
            </w:pPr>
            <w:hyperlink r:id="rId25">
              <w:r>
                <w:rPr>
                  <w:color w:val="0000FF" w:themeColor="hyperlink"/>
                  <w:u w:val="single"/>
                </w:rPr>
                <w:t>35987350</w:t>
              </w:r>
            </w:hyperlink>
            <w:r>
              <w:t xml:space="preserve"> ['Labrosse R', 'Boufaied I', 'Bourdin B', 'Gona S', 'Randolph HE', 'Logan BR', 'Bourbonnais S', 'Berthe C', 'Chan W', 'Buckley RH', 'Parrott RE', 'Cuvelier GDE', 'Kapoor N', 'Chandra S', '</w:t>
            </w:r>
            <w:r>
              <w:rPr>
                <w:b/>
                <w:u w:val="single"/>
              </w:rPr>
              <w:t>D</w:t>
            </w:r>
            <w:r>
              <w:rPr>
                <w:b/>
                <w:u w:val="single"/>
              </w:rPr>
              <w:t>ávila Saldaña BJ</w:t>
            </w:r>
            <w:r>
              <w:t xml:space="preserve">', 'Eissa H', 'Goldman FD', 'Heimall J', "O'Reilly R", 'Chaudhury S', 'Kolb EA', 'Shenoy S', 'Griffith LM', 'Pulsipher M', 'Kohn DB', 'Notarangelo LD', 'Pai SY', 'Cowan MJ', 'Dvorak CC', 'Haddad É', 'Puck JM', 'Barreiro LB', 'Decaluwe H'], </w:t>
            </w:r>
            <w:r>
              <w:t>Aberrant T-cell exhaustion in severe combined immunodeficiency survivors with poor T-cell reconstitution after transplantation, Jan-2023, 17-Aug-2022, The Journal of allergy and clinical immunology, 151(1):260-271</w:t>
            </w:r>
          </w:p>
        </w:tc>
      </w:tr>
      <w:tr w:rsidR="00DA4C4A" w:rsidTr="00DA4C4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DA4C4A" w:rsidRDefault="00971FA4">
            <w:r>
              <w:t>15</w:t>
            </w:r>
          </w:p>
        </w:tc>
        <w:tc>
          <w:tcPr>
            <w:tcW w:w="8934" w:type="dxa"/>
          </w:tcPr>
          <w:p w:rsidR="00DA4C4A" w:rsidRDefault="00971FA4">
            <w:pPr>
              <w:cnfStyle w:val="000000100000" w:firstRow="0" w:lastRow="0" w:firstColumn="0" w:lastColumn="0" w:oddVBand="0" w:evenVBand="0" w:oddHBand="1" w:evenHBand="0" w:firstRowFirstColumn="0" w:firstRowLastColumn="0" w:lastRowFirstColumn="0" w:lastRowLastColumn="0"/>
            </w:pPr>
            <w:hyperlink r:id="rId26">
              <w:r>
                <w:rPr>
                  <w:color w:val="0000FF" w:themeColor="hyperlink"/>
                  <w:u w:val="single"/>
                </w:rPr>
                <w:t>36202334</w:t>
              </w:r>
            </w:hyperlink>
            <w:r>
              <w:t xml:space="preserve"> ['Schoettler ML', 'Saldana BD', 'Berkenkamp L', 'Chonat S', 'Watkins B', 'Rotz SJ', 'Simons D', 'Graf E', 'Rossi C', 'Cheng J', 'Hammers YA', 'Rytting H', 'Williams KM'], Pulmonary Manifestations and Vascular Changes in Pedia</w:t>
            </w:r>
            <w:r>
              <w:t>tric Transplantation-Associated Thrombotic Microangiopathy, Jan-2023, 4-Oct-2022, Transplantation and cellular therapy, 29(1):45.e1-45.e8</w:t>
            </w:r>
            <w:r>
              <w:rPr>
                <w:b/>
                <w:u w:val="single"/>
              </w:rPr>
              <w:t>Saldaña BD</w:t>
            </w:r>
          </w:p>
        </w:tc>
      </w:tr>
      <w:tr w:rsidR="00DA4C4A" w:rsidTr="00DA4C4A">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DA4C4A" w:rsidRDefault="00971FA4">
            <w:r>
              <w:t>16</w:t>
            </w:r>
          </w:p>
        </w:tc>
        <w:tc>
          <w:tcPr>
            <w:tcW w:w="8934" w:type="dxa"/>
          </w:tcPr>
          <w:p w:rsidR="00DA4C4A" w:rsidRDefault="00971FA4">
            <w:pPr>
              <w:cnfStyle w:val="000000010000" w:firstRow="0" w:lastRow="0" w:firstColumn="0" w:lastColumn="0" w:oddVBand="0" w:evenVBand="0" w:oddHBand="0" w:evenHBand="1" w:firstRowFirstColumn="0" w:firstRowLastColumn="0" w:lastRowFirstColumn="0" w:lastRowLastColumn="0"/>
            </w:pPr>
            <w:hyperlink r:id="rId27">
              <w:r>
                <w:rPr>
                  <w:color w:val="0000FF" w:themeColor="hyperlink"/>
                  <w:u w:val="single"/>
                </w:rPr>
                <w:t>36818524</w:t>
              </w:r>
            </w:hyperlink>
            <w:r>
              <w:t xml:space="preserve"> ['Lyons K', 'Dham N', 'Schwartz B',</w:t>
            </w:r>
            <w:r>
              <w:t xml:space="preserve"> '</w:t>
            </w:r>
            <w:r>
              <w:rPr>
                <w:b/>
                <w:u w:val="single"/>
              </w:rPr>
              <w:t>Dávila Saldaña BJ</w:t>
            </w:r>
            <w:r>
              <w:t>'], Risk Factors for Symptomatic Pericardial Effusions Posthematopoietic Stem Cell Transplant, 2023, 8-Feb-2023, Journal of transplantation, 2023:7455756</w:t>
            </w:r>
          </w:p>
        </w:tc>
      </w:tr>
      <w:tr w:rsidR="00DA4C4A" w:rsidTr="00DA4C4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DA4C4A" w:rsidRDefault="00971FA4">
            <w:r>
              <w:t>17</w:t>
            </w:r>
          </w:p>
        </w:tc>
        <w:tc>
          <w:tcPr>
            <w:tcW w:w="8934" w:type="dxa"/>
          </w:tcPr>
          <w:p w:rsidR="00DA4C4A" w:rsidRDefault="00971FA4">
            <w:pPr>
              <w:cnfStyle w:val="000000100000" w:firstRow="0" w:lastRow="0" w:firstColumn="0" w:lastColumn="0" w:oddVBand="0" w:evenVBand="0" w:oddHBand="1" w:evenHBand="0" w:firstRowFirstColumn="0" w:firstRowLastColumn="0" w:lastRowFirstColumn="0" w:lastRowLastColumn="0"/>
            </w:pPr>
            <w:hyperlink r:id="rId28">
              <w:r>
                <w:rPr>
                  <w:color w:val="0000FF" w:themeColor="hyperlink"/>
                  <w:u w:val="single"/>
                </w:rPr>
                <w:t>37900687</w:t>
              </w:r>
            </w:hyperlink>
            <w:r>
              <w:t xml:space="preserve"> ['Olson TL', 'Pollack MM', '</w:t>
            </w:r>
            <w:r>
              <w:rPr>
                <w:b/>
                <w:u w:val="single"/>
              </w:rPr>
              <w:t>Dávila Saldaña BJ</w:t>
            </w:r>
            <w:r>
              <w:t>', 'Patel AK'], Hospital survival following pediatric HSCT: changes in complications, ICU therapies and outcomes over 10 years, 2023, 12-Oct-2023, Frontiers in pediatrics, 11:1247792</w:t>
            </w:r>
          </w:p>
        </w:tc>
      </w:tr>
      <w:tr w:rsidR="00DA4C4A" w:rsidTr="00DA4C4A">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DA4C4A" w:rsidRDefault="00971FA4">
            <w:r>
              <w:t>18</w:t>
            </w:r>
          </w:p>
        </w:tc>
        <w:tc>
          <w:tcPr>
            <w:tcW w:w="8934" w:type="dxa"/>
          </w:tcPr>
          <w:p w:rsidR="00DA4C4A" w:rsidRDefault="00971FA4">
            <w:pPr>
              <w:cnfStyle w:val="000000010000" w:firstRow="0" w:lastRow="0" w:firstColumn="0" w:lastColumn="0" w:oddVBand="0" w:evenVBand="0" w:oddHBand="0" w:evenHBand="1" w:firstRowFirstColumn="0" w:firstRowLastColumn="0" w:lastRowFirstColumn="0" w:lastRowLastColumn="0"/>
            </w:pPr>
            <w:hyperlink r:id="rId29">
              <w:r>
                <w:rPr>
                  <w:color w:val="0000FF" w:themeColor="hyperlink"/>
                  <w:u w:val="single"/>
                </w:rPr>
                <w:t>34375618</w:t>
              </w:r>
            </w:hyperlink>
            <w:r>
              <w:t xml:space="preserve"> ['Marsh RA', 'Hebert K', 'Kim S', 'Dvorak CC', 'Aquino VM', 'Baker KS', 'Chellapandian D', '</w:t>
            </w:r>
            <w:r>
              <w:rPr>
                <w:b/>
                <w:u w:val="single"/>
              </w:rPr>
              <w:t>Dávila Saldaña B</w:t>
            </w:r>
            <w:r>
              <w:t>', 'Duncan CN', 'Eckrich MJ', 'Georges GE', 'Olson TS', 'Pulsipher MA', 'Shenoy S', 'Stenger E', 'Lugt</w:t>
            </w:r>
            <w:r>
              <w:t xml:space="preserve"> MV', 'Yu LC', 'Gennery AR', 'Eapen M'], Comparison of hematopoietic cell transplant conditioning regimens for hemophagocytic lymphohistiocytosis disorders, Mar-2022, 8-Aug-2021, The Journal of allergy and clinical immunology, 149(3):1097-1104.e2</w:t>
            </w:r>
          </w:p>
        </w:tc>
      </w:tr>
      <w:tr w:rsidR="00DA4C4A" w:rsidTr="00DA4C4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DA4C4A" w:rsidRDefault="00971FA4">
            <w:r>
              <w:t>19</w:t>
            </w:r>
          </w:p>
        </w:tc>
        <w:tc>
          <w:tcPr>
            <w:tcW w:w="8934" w:type="dxa"/>
          </w:tcPr>
          <w:p w:rsidR="00DA4C4A" w:rsidRDefault="00971FA4">
            <w:pPr>
              <w:cnfStyle w:val="000000100000" w:firstRow="0" w:lastRow="0" w:firstColumn="0" w:lastColumn="0" w:oddVBand="0" w:evenVBand="0" w:oddHBand="1" w:evenHBand="0" w:firstRowFirstColumn="0" w:firstRowLastColumn="0" w:lastRowFirstColumn="0" w:lastRowLastColumn="0"/>
            </w:pPr>
            <w:hyperlink r:id="rId30">
              <w:r>
                <w:rPr>
                  <w:color w:val="0000FF" w:themeColor="hyperlink"/>
                  <w:u w:val="single"/>
                </w:rPr>
                <w:t>34384841</w:t>
              </w:r>
            </w:hyperlink>
            <w:r>
              <w:t xml:space="preserve"> ['Delmonte OM', 'Castagnoli R', 'Yu J', 'Dvorak CC', 'Cowan MJ', '</w:t>
            </w:r>
            <w:r>
              <w:rPr>
                <w:b/>
                <w:u w:val="single"/>
              </w:rPr>
              <w:t>Dávila Saldaña BJ</w:t>
            </w:r>
            <w:r>
              <w:t>', 'De Ravin SS', 'Mamcarz E', 'Chang CK', 'Daley SR', 'Griffith LM', 'Notarangelo LD', 'Puck JM'], Poor T-ce</w:t>
            </w:r>
            <w:r>
              <w:t>ll receptor β repertoire diversity early posttransplant for severe combined immunodeficiency predicts failure of immune reconstitution, Mar-2022, 9-Aug-2021, The Journal of allergy and clinical immunology, 149(3):1113-1119</w:t>
            </w:r>
          </w:p>
        </w:tc>
      </w:tr>
      <w:tr w:rsidR="00DA4C4A" w:rsidTr="00DA4C4A">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DA4C4A" w:rsidRDefault="00971FA4">
            <w:r>
              <w:t>20</w:t>
            </w:r>
          </w:p>
        </w:tc>
        <w:tc>
          <w:tcPr>
            <w:tcW w:w="8934" w:type="dxa"/>
          </w:tcPr>
          <w:p w:rsidR="00DA4C4A" w:rsidRDefault="00971FA4">
            <w:pPr>
              <w:cnfStyle w:val="000000010000" w:firstRow="0" w:lastRow="0" w:firstColumn="0" w:lastColumn="0" w:oddVBand="0" w:evenVBand="0" w:oddHBand="0" w:evenHBand="1" w:firstRowFirstColumn="0" w:firstRowLastColumn="0" w:lastRowFirstColumn="0" w:lastRowLastColumn="0"/>
            </w:pPr>
            <w:hyperlink r:id="rId31">
              <w:r>
                <w:rPr>
                  <w:color w:val="0000FF" w:themeColor="hyperlink"/>
                  <w:u w:val="single"/>
                </w:rPr>
                <w:t>34670275</w:t>
              </w:r>
            </w:hyperlink>
            <w:r>
              <w:t xml:space="preserve"> ['</w:t>
            </w:r>
            <w:r>
              <w:rPr>
                <w:b/>
                <w:u w:val="single"/>
              </w:rPr>
              <w:t>Dávila Saldaña BJ</w:t>
            </w:r>
            <w:r>
              <w:t>', 'John T', 'Bonifant C', 'Buchbinder D', 'Chandra S', 'Chandrakasan S', 'Chang W', 'Chen L', 'Elfassy HL', 'Geerlinks AV', 'Giller RH', 'Goyal R', 'Hagin D', 'Islam S', 'Mallhi K', 'Miller HK', '</w:t>
            </w:r>
            <w:r>
              <w:t xml:space="preserve">Owen W', 'Pacheco M', 'Patel NC', 'Querfeld C', 'Quigg T', 'Richard N', 'Schiff D', 'Shereck E', 'Stenger E', 'Jordan MB', 'Heslop HE', 'Bollard CM', 'Cohen </w:t>
            </w:r>
            <w:r>
              <w:lastRenderedPageBreak/>
              <w:t>JI'], High risk of relapsed disease in patients with NK/T-cell chronic active Epstein-Barr virus di</w:t>
            </w:r>
            <w:r>
              <w:t>sease outside of Asia, 25-Jan-2022, Blood advances, 6(2):452-459</w:t>
            </w:r>
          </w:p>
        </w:tc>
      </w:tr>
      <w:tr w:rsidR="00DA4C4A" w:rsidTr="00DA4C4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DA4C4A" w:rsidRDefault="00971FA4">
            <w:r>
              <w:lastRenderedPageBreak/>
              <w:t>21</w:t>
            </w:r>
          </w:p>
        </w:tc>
        <w:tc>
          <w:tcPr>
            <w:tcW w:w="8934" w:type="dxa"/>
          </w:tcPr>
          <w:p w:rsidR="00DA4C4A" w:rsidRDefault="00971FA4">
            <w:pPr>
              <w:cnfStyle w:val="000000100000" w:firstRow="0" w:lastRow="0" w:firstColumn="0" w:lastColumn="0" w:oddVBand="0" w:evenVBand="0" w:oddHBand="1" w:evenHBand="0" w:firstRowFirstColumn="0" w:firstRowLastColumn="0" w:lastRowFirstColumn="0" w:lastRowLastColumn="0"/>
            </w:pPr>
            <w:hyperlink r:id="rId32">
              <w:r>
                <w:rPr>
                  <w:color w:val="0000FF" w:themeColor="hyperlink"/>
                  <w:u w:val="single"/>
                </w:rPr>
                <w:t>35371103</w:t>
              </w:r>
            </w:hyperlink>
            <w:r>
              <w:t xml:space="preserve"> ['Chandra S', 'Kalashnikova T', 'Wright NAM', '</w:t>
            </w:r>
            <w:r>
              <w:rPr>
                <w:b/>
                <w:u w:val="single"/>
              </w:rPr>
              <w:t>Dávila Saldaña BJ</w:t>
            </w:r>
            <w:r>
              <w:t>'], Primary Immunodeficiencies and Hematologic Maligna</w:t>
            </w:r>
            <w:r>
              <w:t>ncies: A Diagnostic Approach, 2022, 18-Mar-2022, Frontiers in immunology, 13:852937</w:t>
            </w:r>
          </w:p>
        </w:tc>
      </w:tr>
      <w:tr w:rsidR="00DA4C4A" w:rsidTr="00DA4C4A">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DA4C4A" w:rsidRDefault="00971FA4">
            <w:r>
              <w:t>22</w:t>
            </w:r>
          </w:p>
        </w:tc>
        <w:tc>
          <w:tcPr>
            <w:tcW w:w="8934" w:type="dxa"/>
          </w:tcPr>
          <w:p w:rsidR="00DA4C4A" w:rsidRDefault="00971FA4">
            <w:pPr>
              <w:cnfStyle w:val="000000010000" w:firstRow="0" w:lastRow="0" w:firstColumn="0" w:lastColumn="0" w:oddVBand="0" w:evenVBand="0" w:oddHBand="0" w:evenHBand="1" w:firstRowFirstColumn="0" w:firstRowLastColumn="0" w:lastRowFirstColumn="0" w:lastRowLastColumn="0"/>
            </w:pPr>
            <w:hyperlink r:id="rId33">
              <w:r>
                <w:rPr>
                  <w:color w:val="0000FF" w:themeColor="hyperlink"/>
                  <w:u w:val="single"/>
                </w:rPr>
                <w:t>33274413</w:t>
              </w:r>
            </w:hyperlink>
            <w:r>
              <w:t xml:space="preserve"> ['Dorsey M', 'Wright NAM', 'Chaimowitz NS', '</w:t>
            </w:r>
            <w:r>
              <w:rPr>
                <w:b/>
                <w:u w:val="single"/>
              </w:rPr>
              <w:t>Dávila Saldaña BJ</w:t>
            </w:r>
            <w:r>
              <w:t xml:space="preserve">', 'Miller H', 'Keller MD', 'Thakar </w:t>
            </w:r>
            <w:r>
              <w:t>MS', 'Shah AJ', 'Abu-Arja R', 'Andolina J', 'Aquino V', 'Barnum JL', 'Bednarski JJ', 'Bhatia M', 'Bonilla FA', 'Butte MJ', 'Bunin NJ', 'Burroughs LM', 'Chandra S', 'Chaudhury S', 'Chen K', 'Chong H', 'Cuvelier G', 'Dalal J', 'DeFelice ML', 'DeSantes KB', '</w:t>
            </w:r>
            <w:r>
              <w:t xml:space="preserve">Forbes LR', 'Gillio A', 'Goldman F', 'Joshi AY', 'Kapoor N', 'Knutsen AP', 'Kobrynski L', 'Lieberman JA', 'Leiding JW', 'Oshrine B', 'Patel KP', 'Prockop S', 'Quigg TC', 'Quinones R', 'Schultz KR', 'Seroogy C', 'Shyr D', 'Siegel S', 'Smith AR', 'Torgerson </w:t>
            </w:r>
            <w:r>
              <w:t>TR', 'Vander Lugt MT', 'Yu LC', 'Cowan MJ', 'Buckley RH', 'Dvorak CC', 'Griffith LM', 'Haddad E', 'Kohn DB', 'Logan B', 'Notarangelo LD', 'Pai SY', 'Puck J', 'Pulsipher MA', 'Heimall J'], Correction to: Infections in Infants with SCID: Isolation, Infection</w:t>
            </w:r>
            <w:r>
              <w:t xml:space="preserve"> Screening and Prophylaxis in PIDTC Centers, Feb-2021, Journal of clinical immunology, 41(2):498-500</w:t>
            </w:r>
          </w:p>
        </w:tc>
      </w:tr>
      <w:tr w:rsidR="00DA4C4A" w:rsidTr="00DA4C4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DA4C4A" w:rsidRDefault="00971FA4">
            <w:r>
              <w:t>23</w:t>
            </w:r>
          </w:p>
        </w:tc>
        <w:tc>
          <w:tcPr>
            <w:tcW w:w="8934" w:type="dxa"/>
          </w:tcPr>
          <w:p w:rsidR="00DA4C4A" w:rsidRDefault="00971FA4">
            <w:pPr>
              <w:cnfStyle w:val="000000100000" w:firstRow="0" w:lastRow="0" w:firstColumn="0" w:lastColumn="0" w:oddVBand="0" w:evenVBand="0" w:oddHBand="1" w:evenHBand="0" w:firstRowFirstColumn="0" w:firstRowLastColumn="0" w:lastRowFirstColumn="0" w:lastRowLastColumn="0"/>
            </w:pPr>
            <w:hyperlink r:id="rId34">
              <w:r>
                <w:rPr>
                  <w:color w:val="0000FF" w:themeColor="hyperlink"/>
                  <w:u w:val="single"/>
                </w:rPr>
                <w:t>33006109</w:t>
              </w:r>
            </w:hyperlink>
            <w:r>
              <w:t xml:space="preserve"> ['Dorsey MJ', 'Wright NAM', 'Chaimowitz NS', '</w:t>
            </w:r>
            <w:r>
              <w:rPr>
                <w:b/>
                <w:u w:val="single"/>
              </w:rPr>
              <w:t>Dávila Saldaña BJ</w:t>
            </w:r>
            <w:r>
              <w:t>', 'Miller H', 'Kel</w:t>
            </w:r>
            <w:r>
              <w:t>ler MD', 'Thakar MS', 'Shah AJ', 'Abu-Arja R', 'Andolina J', 'Aquino V', 'Barnum JL', 'Bednarski JJ', 'Bhatia M', 'Bonilla FA', 'Butte MJ', 'Bunin NJ', 'Chandra S', 'Chaudhury S', 'Chen K', 'Chong H', 'Cuvelier GDE', 'Dalal J', 'DeFelice ML', 'DeSantes KB'</w:t>
            </w:r>
            <w:r>
              <w:t>, 'Forbes LR', 'Gillio A', 'Goldman F', 'Joshi AY', 'Kapoor N', 'Knutsen AP', 'Kobrynski L', 'Lieberman JA', 'Leiding JW', 'Oshrine B', 'Patel KP', 'Prockop S', 'Quigg TC', 'Quinones R', 'Schultz KR', 'Seroogy C', 'Shyr D', 'Siegel S', 'Smith AR', 'Torgers</w:t>
            </w:r>
            <w:r>
              <w:t xml:space="preserve">on TR', 'Vander Lugt MT', 'Yu LC', 'Cowan MJ', 'Buckley RH', 'Dvorak CC', 'Griffith LM', 'Haddad E', 'Kohn DB', 'Logan B', 'Notarangelo LD', 'Pai SY', 'Puck J', 'Pulsipher MA', 'Heimall J'], Infections in Infants with SCID: Isolation, Infection Screening, </w:t>
            </w:r>
            <w:r>
              <w:t>and Prophylaxis in PIDTC Centers, Jan-2021, 2-Oct-2020, Journal of clinical immunology, 41(1):38-50</w:t>
            </w:r>
          </w:p>
        </w:tc>
      </w:tr>
      <w:tr w:rsidR="00DA4C4A" w:rsidTr="00DA4C4A">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DA4C4A" w:rsidRDefault="00971FA4">
            <w:r>
              <w:t>24</w:t>
            </w:r>
          </w:p>
        </w:tc>
        <w:tc>
          <w:tcPr>
            <w:tcW w:w="8934" w:type="dxa"/>
          </w:tcPr>
          <w:p w:rsidR="00DA4C4A" w:rsidRDefault="00971FA4">
            <w:pPr>
              <w:cnfStyle w:val="000000010000" w:firstRow="0" w:lastRow="0" w:firstColumn="0" w:lastColumn="0" w:oddVBand="0" w:evenVBand="0" w:oddHBand="0" w:evenHBand="1" w:firstRowFirstColumn="0" w:firstRowLastColumn="0" w:lastRowFirstColumn="0" w:lastRowLastColumn="0"/>
            </w:pPr>
            <w:hyperlink r:id="rId35">
              <w:r>
                <w:rPr>
                  <w:color w:val="0000FF" w:themeColor="hyperlink"/>
                  <w:u w:val="single"/>
                </w:rPr>
                <w:t>33067658</w:t>
              </w:r>
            </w:hyperlink>
            <w:r>
              <w:t xml:space="preserve"> ['Chandra S', 'Chandrakasan S', '</w:t>
            </w:r>
            <w:r>
              <w:rPr>
                <w:b/>
                <w:u w:val="single"/>
              </w:rPr>
              <w:t>Dávila Saldaña BJ</w:t>
            </w:r>
            <w:r>
              <w:t>', 'Bleesing JJ', 'Jordan MB', 'K</w:t>
            </w:r>
            <w:r>
              <w:t>umar AR', 'Grimley MS', 'Krupski C', 'Davies SM', 'Khandelwal P', 'Marsh RA'], Experience with a Reduced Toxicity Allogeneic Transplant Regimen for Non-CGD Primary Immune Deficiencies Requiring Myeloablation, Jan-2021, 16-Oct-2020, Journal of clinical immu</w:t>
            </w:r>
            <w:r>
              <w:t>nology, 41(1):89-98</w:t>
            </w:r>
          </w:p>
        </w:tc>
      </w:tr>
      <w:tr w:rsidR="00DA4C4A" w:rsidTr="00DA4C4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DA4C4A" w:rsidRDefault="00971FA4">
            <w:r>
              <w:t>25</w:t>
            </w:r>
          </w:p>
        </w:tc>
        <w:tc>
          <w:tcPr>
            <w:tcW w:w="8934" w:type="dxa"/>
          </w:tcPr>
          <w:p w:rsidR="00DA4C4A" w:rsidRDefault="00971FA4">
            <w:pPr>
              <w:cnfStyle w:val="000000100000" w:firstRow="0" w:lastRow="0" w:firstColumn="0" w:lastColumn="0" w:oddVBand="0" w:evenVBand="0" w:oddHBand="1" w:evenHBand="0" w:firstRowFirstColumn="0" w:firstRowLastColumn="0" w:lastRowFirstColumn="0" w:lastRowLastColumn="0"/>
            </w:pPr>
            <w:hyperlink r:id="rId36">
              <w:r>
                <w:rPr>
                  <w:color w:val="0000FF" w:themeColor="hyperlink"/>
                  <w:u w:val="single"/>
                </w:rPr>
                <w:t>34211466</w:t>
              </w:r>
            </w:hyperlink>
            <w:r>
              <w:t xml:space="preserve"> ['Ferrua F', 'Bortolomai I', 'Fontana E', 'Di Silvestre D', 'Rigoni R', 'Marcovecchio GE', 'Draghici E', 'Brambilla F', 'Castiello MC', 'Delfanti G', 'Moshous D', </w:t>
            </w:r>
            <w:r>
              <w:t>'Picard C', 'Taghon T', 'Bordon V', 'Schulz AS', 'Schuetz C', 'Giliani S', 'Soresina A', 'Gennery AR', 'Signa S', '</w:t>
            </w:r>
            <w:r>
              <w:rPr>
                <w:b/>
                <w:u w:val="single"/>
              </w:rPr>
              <w:t>Dávila Saldaña BJ</w:t>
            </w:r>
            <w:r>
              <w:t>', 'Delmonte OM', 'Notarangelo LD', 'Roifman CM', 'Poliani PL', 'Uva P', 'Mauri PL', 'Villa A', 'Bosticardo M'], Thymic Epit</w:t>
            </w:r>
            <w:r>
              <w:t>helial Cell Alterations and Defective Thymopoiesis Lead to Central and Peripheral Tolerance Perturbation in MHCII Deficiency, 2021, 15-Jun-2021, Frontiers in immunology, 12:669943</w:t>
            </w:r>
          </w:p>
        </w:tc>
      </w:tr>
      <w:tr w:rsidR="00DA4C4A" w:rsidTr="00DA4C4A">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DA4C4A" w:rsidRDefault="00971FA4">
            <w:r>
              <w:t>26</w:t>
            </w:r>
          </w:p>
        </w:tc>
        <w:tc>
          <w:tcPr>
            <w:tcW w:w="8934" w:type="dxa"/>
          </w:tcPr>
          <w:p w:rsidR="00DA4C4A" w:rsidRDefault="00971FA4">
            <w:pPr>
              <w:cnfStyle w:val="000000010000" w:firstRow="0" w:lastRow="0" w:firstColumn="0" w:lastColumn="0" w:oddVBand="0" w:evenVBand="0" w:oddHBand="0" w:evenHBand="1" w:firstRowFirstColumn="0" w:firstRowLastColumn="0" w:lastRowFirstColumn="0" w:lastRowLastColumn="0"/>
            </w:pPr>
            <w:hyperlink r:id="rId37">
              <w:r>
                <w:rPr>
                  <w:color w:val="0000FF" w:themeColor="hyperlink"/>
                  <w:u w:val="single"/>
                </w:rPr>
                <w:t>32860171</w:t>
              </w:r>
            </w:hyperlink>
            <w:r>
              <w:t xml:space="preserve"> ['Marsh RA', 'Leiding JW', 'Logan BR', 'Griffith LM', 'Arnold DE', 'Haddad E', 'Falcone EL', 'Yin Z', 'Patel K', 'Arbuckle E', 'Bleesing JJ', 'Sullivan KE', 'Heimall J', 'Burroughs LM', 'Skoda-Smith S', 'Chandrakasan S', 'Yu LC', 'Oshrine BR', 'Cuvelier G</w:t>
            </w:r>
            <w:r>
              <w:t>DE', 'Thakar MS', 'Chen K', 'Teira P', 'Shenoy S', 'Phelan R', 'Forbes LR', 'Martinez C', 'Chellapandian D', '</w:t>
            </w:r>
            <w:r>
              <w:rPr>
                <w:b/>
                <w:u w:val="single"/>
              </w:rPr>
              <w:t>Dávila Saldaña BJ</w:t>
            </w:r>
            <w:r>
              <w:t>', 'Shah AJ', 'Weinacht KG', 'Joshi A', 'Boulad F', 'Quigg TC', 'Dvorak CC', 'Grossman D', 'Torgerson T', 'Graham P', 'Prasad V',</w:t>
            </w:r>
            <w:r>
              <w:t xml:space="preserve"> 'Knutsen A', 'Chong H', 'Miller H', 'de la Morena MT', 'DeSantes K', 'Cowan MJ', 'Notarangelo LD', 'Kohn DB', 'Stenger E', 'Pai SY', 'Routes JM', 'Puck JM', 'Kapoor N', 'Pulsipher MA', 'Malech HL', 'Parikh S', 'Kang EM'], Correction: Chronic Granulomatous</w:t>
            </w:r>
            <w:r>
              <w:t xml:space="preserve"> Disease-Associated IBD Resolves and Does Not Adversely Impact Survival Following Allogeneic HCT, Nov-2020, Journal of clinical immunology, 40(8):1211-1213</w:t>
            </w:r>
          </w:p>
        </w:tc>
      </w:tr>
      <w:tr w:rsidR="00DA4C4A" w:rsidTr="00DA4C4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DA4C4A" w:rsidRDefault="00971FA4">
            <w:r>
              <w:t>27</w:t>
            </w:r>
          </w:p>
        </w:tc>
        <w:tc>
          <w:tcPr>
            <w:tcW w:w="8934" w:type="dxa"/>
          </w:tcPr>
          <w:p w:rsidR="00DA4C4A" w:rsidRDefault="00971FA4">
            <w:pPr>
              <w:cnfStyle w:val="000000100000" w:firstRow="0" w:lastRow="0" w:firstColumn="0" w:lastColumn="0" w:oddVBand="0" w:evenVBand="0" w:oddHBand="1" w:evenHBand="0" w:firstRowFirstColumn="0" w:firstRowLastColumn="0" w:lastRowFirstColumn="0" w:lastRowLastColumn="0"/>
            </w:pPr>
            <w:hyperlink r:id="rId38">
              <w:r>
                <w:rPr>
                  <w:color w:val="0000FF" w:themeColor="hyperlink"/>
                  <w:u w:val="single"/>
                </w:rPr>
                <w:t>32268350</w:t>
              </w:r>
            </w:hyperlink>
            <w:r>
              <w:t xml:space="preserve"> ['Burroughs LM', 'Petrovic </w:t>
            </w:r>
            <w:r>
              <w:t>A', 'Brazauskas R', 'Liu X', 'Griffith LM', 'Ochs HD', 'Bleesing JJ', 'Edwards S', 'Dvorak CC', 'Chaudhury S', 'Prockop SE', 'Quinones R', 'Goldman FD', 'Quigg TC', 'Chandrakasan S', 'Smith AR', 'Parikh S', '</w:t>
            </w:r>
            <w:r>
              <w:rPr>
                <w:b/>
                <w:u w:val="single"/>
              </w:rPr>
              <w:t>Dávila Saldaña BJ</w:t>
            </w:r>
            <w:r>
              <w:t>', 'Thakar MS', 'Phelan R', 'Sh</w:t>
            </w:r>
            <w:r>
              <w:t>enoy S', 'Forbes LR', 'Martinez C', 'Chellapandian D', 'Shereck E', 'Miller HK', 'Kapoor N', 'Barnum JL', 'Chong H', 'Shyr DC', 'Chen K', 'Abu-Arja R', 'Shah AJ', 'Weinacht KG', 'Moore TB', 'Joshi A', 'DeSantes KB', 'Gillio AP', 'Cuvelier GDE', 'Keller MD'</w:t>
            </w:r>
            <w:r>
              <w:t xml:space="preserve">, 'Rozmus J', 'Torgerson T', 'Pulsipher MA', 'Haddad E', 'Sullivan KE', 'Logan BR', 'Kohn DB', 'Puck JM', 'Notarangelo LD', 'Pai SY', 'Rawlings DJ', 'Cowan MJ'], Excellent outcomes following hematopoietic cell transplantation for Wiskott-Aldrich syndrome: </w:t>
            </w:r>
            <w:r>
              <w:t>a PIDTC report, 4-Jun-2020, Blood, 135(23):2094-2105</w:t>
            </w:r>
          </w:p>
        </w:tc>
      </w:tr>
      <w:tr w:rsidR="00DA4C4A" w:rsidTr="00DA4C4A">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DA4C4A" w:rsidRDefault="00971FA4">
            <w:r>
              <w:t>28</w:t>
            </w:r>
          </w:p>
        </w:tc>
        <w:tc>
          <w:tcPr>
            <w:tcW w:w="8934" w:type="dxa"/>
          </w:tcPr>
          <w:p w:rsidR="00DA4C4A" w:rsidRDefault="00971FA4">
            <w:pPr>
              <w:cnfStyle w:val="000000010000" w:firstRow="0" w:lastRow="0" w:firstColumn="0" w:lastColumn="0" w:oddVBand="0" w:evenVBand="0" w:oddHBand="0" w:evenHBand="1" w:firstRowFirstColumn="0" w:firstRowLastColumn="0" w:lastRowFirstColumn="0" w:lastRowLastColumn="0"/>
            </w:pPr>
            <w:hyperlink r:id="rId39">
              <w:r>
                <w:rPr>
                  <w:color w:val="0000FF" w:themeColor="hyperlink"/>
                  <w:u w:val="single"/>
                </w:rPr>
                <w:t>31651069</w:t>
              </w:r>
            </w:hyperlink>
            <w:r>
              <w:t xml:space="preserve"> ['Szymanski AM', '</w:t>
            </w:r>
            <w:r>
              <w:rPr>
                <w:b/>
                <w:u w:val="single"/>
              </w:rPr>
              <w:t>Dávila Saldaña B</w:t>
            </w:r>
            <w:r>
              <w:t>', 'Ferreira CR', 'Loechelt B', 'Jung L'], Mevalonic aciduria: Does stem cell transplant fully c</w:t>
            </w:r>
            <w:r>
              <w:t>ure disease?, Feb-2020, 25-Oct-2019, Pediatric transplantation, 24(1):e13604</w:t>
            </w:r>
          </w:p>
        </w:tc>
      </w:tr>
      <w:tr w:rsidR="00DA4C4A" w:rsidTr="00DA4C4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DA4C4A" w:rsidRDefault="00971FA4">
            <w:r>
              <w:t>29</w:t>
            </w:r>
          </w:p>
        </w:tc>
        <w:tc>
          <w:tcPr>
            <w:tcW w:w="8934" w:type="dxa"/>
          </w:tcPr>
          <w:p w:rsidR="00DA4C4A" w:rsidRDefault="00971FA4">
            <w:pPr>
              <w:cnfStyle w:val="000000100000" w:firstRow="0" w:lastRow="0" w:firstColumn="0" w:lastColumn="0" w:oddVBand="0" w:evenVBand="0" w:oddHBand="1" w:evenHBand="0" w:firstRowFirstColumn="0" w:firstRowLastColumn="0" w:lastRowFirstColumn="0" w:lastRowLastColumn="0"/>
            </w:pPr>
            <w:hyperlink r:id="rId40">
              <w:r>
                <w:rPr>
                  <w:color w:val="0000FF" w:themeColor="hyperlink"/>
                  <w:u w:val="single"/>
                </w:rPr>
                <w:t>32153572</w:t>
              </w:r>
            </w:hyperlink>
            <w:r>
              <w:t xml:space="preserve"> ['Chan AY', 'Leiding JW', 'Liu X', 'Logan BR', 'Burroughs LM', 'Allenspach EJ', 'Skoda-Smith S', 'Uzel G',</w:t>
            </w:r>
            <w:r>
              <w:t xml:space="preserve"> 'Notarangelo LD', 'Slatter M', 'Gennery AR', 'Smith AR', 'Pai SY', 'Jordan MB', 'Marsh RA', 'Cowan MJ', 'Dvorak CC', 'Craddock JA', 'Prockop SE', 'Chandrakasan S', 'Kapoor N', 'Buckley RH', 'Parikh S', 'Chellapandian D', 'Oshrine BR', 'Bednarski JJ', 'Coo</w:t>
            </w:r>
            <w:r>
              <w:t>per MA', 'Shenoy S', '</w:t>
            </w:r>
            <w:r>
              <w:rPr>
                <w:b/>
                <w:u w:val="single"/>
              </w:rPr>
              <w:t>Davila Saldana BJ</w:t>
            </w:r>
            <w:r>
              <w:t>', 'Forbes LR', 'Martinez C', 'Haddad E', 'Shyr DC', 'Chen K', 'Sullivan KE', 'Heimall J', 'Wright N', 'Bhatia M', 'Cuvelier GDE', 'Goldman FD', 'Meyts I', 'Miller HK', 'Seidel MG', 'Vander Lugt MT', 'Bacchetta R', 'W</w:t>
            </w:r>
            <w:r>
              <w:t xml:space="preserve">einacht KG', 'Andolina JR', 'Caywood E', 'Chong H', 'de la Morena MT', 'Aquino VM', 'Shereck E', 'Walter JE', 'Dorsey MJ', 'Seroogy CM', 'Griffith LM', 'Kohn DB', 'Puck JM', 'Pulsipher MA', 'Torgerson TR'], </w:t>
            </w:r>
            <w:r>
              <w:lastRenderedPageBreak/>
              <w:t>Hematopoietic Cell Transplantation in Patients Wi</w:t>
            </w:r>
            <w:r>
              <w:t>th Primary Immune Regulatory Disorders (PIRD): A Primary Immune Deficiency Treatment Consortium (PIDTC) Survey, 2020, 21-Feb-2020, Frontiers in immunology, 11:239</w:t>
            </w:r>
          </w:p>
        </w:tc>
      </w:tr>
      <w:tr w:rsidR="00DA4C4A" w:rsidTr="00DA4C4A">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DA4C4A" w:rsidRDefault="00971FA4">
            <w:r>
              <w:lastRenderedPageBreak/>
              <w:t>30</w:t>
            </w:r>
          </w:p>
        </w:tc>
        <w:tc>
          <w:tcPr>
            <w:tcW w:w="8934" w:type="dxa"/>
          </w:tcPr>
          <w:p w:rsidR="00DA4C4A" w:rsidRDefault="00971FA4">
            <w:pPr>
              <w:cnfStyle w:val="000000010000" w:firstRow="0" w:lastRow="0" w:firstColumn="0" w:lastColumn="0" w:oddVBand="0" w:evenVBand="0" w:oddHBand="0" w:evenHBand="1" w:firstRowFirstColumn="0" w:firstRowLastColumn="0" w:lastRowFirstColumn="0" w:lastRowLastColumn="0"/>
            </w:pPr>
            <w:hyperlink r:id="rId41">
              <w:r>
                <w:rPr>
                  <w:color w:val="0000FF" w:themeColor="hyperlink"/>
                  <w:u w:val="single"/>
                </w:rPr>
                <w:t>31306780</w:t>
              </w:r>
            </w:hyperlink>
            <w:r>
              <w:t xml:space="preserve"> ['Ahmed IA', 'Farooqi MS', 'Vander Lugt MT', 'Boklan J', 'Rose M', 'Friehling ED', 'Triplett B', 'Lieuw K', 'Saldana BD', 'Smith CM', 'Schwartz JR', 'Goyal RK'], Outcomes of Hematopoietic Cell Transplantation in Patients with Germline SAMD9/SAMD9L Mutatio</w:t>
            </w:r>
            <w:r>
              <w:t>ns, Nov-2019, 12-Jul-2019, Biology of blood and marrow transplantation : journal of the American Society for Blood and Marrow Transplantation, 25(11):2186-2196</w:t>
            </w:r>
            <w:r>
              <w:rPr>
                <w:b/>
                <w:u w:val="single"/>
              </w:rPr>
              <w:t>Saldaña BD</w:t>
            </w:r>
          </w:p>
        </w:tc>
      </w:tr>
      <w:tr w:rsidR="00DA4C4A" w:rsidTr="00DA4C4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DA4C4A" w:rsidRDefault="00971FA4">
            <w:r>
              <w:t>31</w:t>
            </w:r>
          </w:p>
        </w:tc>
        <w:tc>
          <w:tcPr>
            <w:tcW w:w="8934" w:type="dxa"/>
          </w:tcPr>
          <w:p w:rsidR="00DA4C4A" w:rsidRDefault="00971FA4">
            <w:pPr>
              <w:cnfStyle w:val="000000100000" w:firstRow="0" w:lastRow="0" w:firstColumn="0" w:lastColumn="0" w:oddVBand="0" w:evenVBand="0" w:oddHBand="1" w:evenHBand="0" w:firstRowFirstColumn="0" w:firstRowLastColumn="0" w:lastRowFirstColumn="0" w:lastRowLastColumn="0"/>
            </w:pPr>
            <w:hyperlink r:id="rId42">
              <w:r>
                <w:rPr>
                  <w:color w:val="0000FF" w:themeColor="hyperlink"/>
                  <w:u w:val="single"/>
                </w:rPr>
                <w:t>31471935</w:t>
              </w:r>
            </w:hyperlink>
            <w:r>
              <w:t xml:space="preserve"> ['Na S', 'Sal</w:t>
            </w:r>
            <w:r>
              <w:t>dana BD', 'Peredo-Pinto H', 'Gonzalez CE', 'Kroemer AH', 'Hawksworth J', 'Matsumoto CS', 'Yazigi N', 'Kaufman S', 'Fishbein TM', 'Khan K'], Successful long-term outcome after combined hematopoietic stem cell transplantation and small bowel transplantation:</w:t>
            </w:r>
            <w:r>
              <w:t xml:space="preserve"> A case report and review of the literature, Nov-2019, 31-Aug-2019, Pediatric transplantation, 23(7):e13563</w:t>
            </w:r>
            <w:r>
              <w:rPr>
                <w:b/>
                <w:u w:val="single"/>
              </w:rPr>
              <w:t>Saldaña BD</w:t>
            </w:r>
          </w:p>
        </w:tc>
      </w:tr>
      <w:tr w:rsidR="00DA4C4A" w:rsidTr="00DA4C4A">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DA4C4A" w:rsidRDefault="00971FA4">
            <w:r>
              <w:t>32</w:t>
            </w:r>
          </w:p>
        </w:tc>
        <w:tc>
          <w:tcPr>
            <w:tcW w:w="8934" w:type="dxa"/>
          </w:tcPr>
          <w:p w:rsidR="00DA4C4A" w:rsidRDefault="00971FA4">
            <w:pPr>
              <w:cnfStyle w:val="000000010000" w:firstRow="0" w:lastRow="0" w:firstColumn="0" w:lastColumn="0" w:oddVBand="0" w:evenVBand="0" w:oddHBand="0" w:evenHBand="1" w:firstRowFirstColumn="0" w:firstRowLastColumn="0" w:lastRowFirstColumn="0" w:lastRowLastColumn="0"/>
            </w:pPr>
            <w:hyperlink r:id="rId43">
              <w:r>
                <w:rPr>
                  <w:color w:val="0000FF" w:themeColor="hyperlink"/>
                  <w:u w:val="single"/>
                </w:rPr>
                <w:t>31648332</w:t>
              </w:r>
            </w:hyperlink>
            <w:r>
              <w:t xml:space="preserve"> ['Bejanyan N', 'Kim S', 'Hebert KM', 'Kekre N', 'Abdel-Azim H', '</w:t>
            </w:r>
            <w:r>
              <w:t>Ahmed I', 'Aljurf M', 'Badawy SM', 'Beitinjaneh A', 'Boelens JJ', 'Diaz MA', 'Dvorak CC', 'Gadalla S', 'Gajewski J', 'Gale RP', 'Ganguly S', 'Gennery AR', 'George B', 'Gergis U', 'Gómez-Almaguer D', 'Vicent MG', 'Hashem H', 'Kamble RT', 'Kasow KA', 'Lazaru</w:t>
            </w:r>
            <w:r>
              <w:t>s HM', 'Mathews V', 'Orchard PJ', 'Pulsipher M', 'Ringden O', 'Schultz K', 'Teira P', 'Woolfrey AE', '</w:t>
            </w:r>
            <w:r>
              <w:rPr>
                <w:b/>
                <w:u w:val="single"/>
              </w:rPr>
              <w:t>Saldaña BD</w:t>
            </w:r>
            <w:r>
              <w:t xml:space="preserve">', 'Savani B', 'Winiarski J', 'Yared J', 'Weisdorf DJ', 'Antin JH', 'Eapen M'], Choice of conditioning regimens for bone marrow transplantation </w:t>
            </w:r>
            <w:r>
              <w:t>in severe aplastic anemia, 22-Oct-2019, Blood advances, 3(20):3123-3131</w:t>
            </w:r>
          </w:p>
        </w:tc>
      </w:tr>
      <w:tr w:rsidR="00DA4C4A" w:rsidTr="00DA4C4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DA4C4A" w:rsidRDefault="00971FA4">
            <w:r>
              <w:t>33</w:t>
            </w:r>
          </w:p>
        </w:tc>
        <w:tc>
          <w:tcPr>
            <w:tcW w:w="8934" w:type="dxa"/>
          </w:tcPr>
          <w:p w:rsidR="00DA4C4A" w:rsidRDefault="00971FA4">
            <w:pPr>
              <w:cnfStyle w:val="000000100000" w:firstRow="0" w:lastRow="0" w:firstColumn="0" w:lastColumn="0" w:oddVBand="0" w:evenVBand="0" w:oddHBand="1" w:evenHBand="0" w:firstRowFirstColumn="0" w:firstRowLastColumn="0" w:lastRowFirstColumn="0" w:lastRowLastColumn="0"/>
            </w:pPr>
            <w:hyperlink r:id="rId44">
              <w:r>
                <w:rPr>
                  <w:color w:val="0000FF" w:themeColor="hyperlink"/>
                  <w:u w:val="single"/>
                </w:rPr>
                <w:t>31376032</w:t>
              </w:r>
            </w:hyperlink>
            <w:r>
              <w:t xml:space="preserve"> ['Marsh RA', 'Leiding JW', 'Logan BR', 'Griffith LM', 'Arnold DE', 'Haddad E', 'Falcone EL', 'Yin Z', 'Patel K'</w:t>
            </w:r>
            <w:r>
              <w:t>, 'Arbuckle E', 'Bleesing JJ', 'Sullivan KE', 'Heimall J', 'Burroughs LM', 'Skoda-Smith S', 'Chandrakasan S', 'Yu LC', 'Oshrine BR', 'Cuvelier GDE', 'Thakar MS', 'Chen K', 'Teira P', 'Shenoy S', 'Phelan R', 'Forbes LR', 'Chellapandian D', '</w:t>
            </w:r>
            <w:r>
              <w:rPr>
                <w:b/>
                <w:u w:val="single"/>
              </w:rPr>
              <w:t>Dávila Saldaña B</w:t>
            </w:r>
            <w:r>
              <w:rPr>
                <w:b/>
                <w:u w:val="single"/>
              </w:rPr>
              <w:t>J</w:t>
            </w:r>
            <w:r>
              <w:t>', 'Shah AJ', 'Weinacht KG', 'Joshi A', 'Boulad F', 'Quigg TC', 'Dvorak CC', 'Grossman D', 'Torgerson T', 'Graham P', 'Prasad V', 'Knutsen A', 'Chong H', 'Miller H', 'de la Morena MT', 'DeSantes K', 'Cowan MJ', 'Notarangelo LD', 'Kohn DB', 'Stenger E', 'P</w:t>
            </w:r>
            <w:r>
              <w:t>ai SY', 'Routes JM', 'Puck JM', 'Kapoor N', 'Pulsipher MA', 'Malech HL', 'Parikh S', 'Kang EM'], Chronic Granulomatous Disease-Associated IBD Resolves and Does Not Adversely Impact Survival Following Allogeneic HCT, Oct-2019, 2-Aug-2019, Journal of clinica</w:t>
            </w:r>
            <w:r>
              <w:t>l immunology, 39(7):653-667</w:t>
            </w:r>
          </w:p>
        </w:tc>
      </w:tr>
      <w:tr w:rsidR="00DA4C4A" w:rsidTr="00DA4C4A">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DA4C4A" w:rsidRDefault="00971FA4">
            <w:r>
              <w:t>34</w:t>
            </w:r>
          </w:p>
        </w:tc>
        <w:tc>
          <w:tcPr>
            <w:tcW w:w="8934" w:type="dxa"/>
          </w:tcPr>
          <w:p w:rsidR="00DA4C4A" w:rsidRDefault="00971FA4">
            <w:pPr>
              <w:cnfStyle w:val="000000010000" w:firstRow="0" w:lastRow="0" w:firstColumn="0" w:lastColumn="0" w:oddVBand="0" w:evenVBand="0" w:oddHBand="0" w:evenHBand="1" w:firstRowFirstColumn="0" w:firstRowLastColumn="0" w:lastRowFirstColumn="0" w:lastRowLastColumn="0"/>
            </w:pPr>
            <w:hyperlink r:id="rId45">
              <w:r>
                <w:rPr>
                  <w:color w:val="0000FF" w:themeColor="hyperlink"/>
                  <w:u w:val="single"/>
                </w:rPr>
                <w:t>31207086</w:t>
              </w:r>
            </w:hyperlink>
            <w:r>
              <w:t xml:space="preserve"> ['Kram DE', 'Santarelli MD', 'Russell TB', 'Pearsall KB', '</w:t>
            </w:r>
            <w:r>
              <w:rPr>
                <w:b/>
                <w:u w:val="single"/>
              </w:rPr>
              <w:t>Saldaña BD</w:t>
            </w:r>
            <w:r>
              <w:t>'], STX11-deficient familial hemophagocytic lymphohistiocytosis type 4 is associated w</w:t>
            </w:r>
            <w:r>
              <w:t>ith self-resolving flares and a milder clinical course, Sep-2019, 17-Jun-2019, Pediatric blood &amp; cancer, 66(9):e27890</w:t>
            </w:r>
          </w:p>
        </w:tc>
      </w:tr>
      <w:tr w:rsidR="00DA4C4A" w:rsidTr="00DA4C4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DA4C4A" w:rsidRDefault="00971FA4">
            <w:r>
              <w:t>35</w:t>
            </w:r>
          </w:p>
        </w:tc>
        <w:tc>
          <w:tcPr>
            <w:tcW w:w="8934" w:type="dxa"/>
          </w:tcPr>
          <w:p w:rsidR="00DA4C4A" w:rsidRDefault="00971FA4">
            <w:pPr>
              <w:cnfStyle w:val="000000100000" w:firstRow="0" w:lastRow="0" w:firstColumn="0" w:lastColumn="0" w:oddVBand="0" w:evenVBand="0" w:oddHBand="1" w:evenHBand="0" w:firstRowFirstColumn="0" w:firstRowLastColumn="0" w:lastRowFirstColumn="0" w:lastRowLastColumn="0"/>
            </w:pPr>
            <w:hyperlink r:id="rId46">
              <w:r>
                <w:rPr>
                  <w:color w:val="0000FF" w:themeColor="hyperlink"/>
                  <w:u w:val="single"/>
                </w:rPr>
                <w:t>30527279</w:t>
              </w:r>
            </w:hyperlink>
            <w:r>
              <w:t xml:space="preserve"> ['</w:t>
            </w:r>
            <w:r>
              <w:rPr>
                <w:b/>
                <w:u w:val="single"/>
              </w:rPr>
              <w:t>Dávila Saldaña BJ</w:t>
            </w:r>
            <w:r>
              <w:t xml:space="preserve">', 'Keller M', 'Hanisch BR', 'Song X'], Tap </w:t>
            </w:r>
            <w:r>
              <w:t>water: A possible source of nontuberculous mycobacterial infection in patients with T cell deficiency, Jul-2019, 5-Dec-2018, American journal of infection control, 47(7):834-836</w:t>
            </w:r>
          </w:p>
        </w:tc>
      </w:tr>
      <w:tr w:rsidR="00DA4C4A" w:rsidTr="00DA4C4A">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DA4C4A" w:rsidRDefault="00971FA4">
            <w:r>
              <w:t>36</w:t>
            </w:r>
          </w:p>
        </w:tc>
        <w:tc>
          <w:tcPr>
            <w:tcW w:w="8934" w:type="dxa"/>
          </w:tcPr>
          <w:p w:rsidR="00DA4C4A" w:rsidRDefault="00971FA4">
            <w:pPr>
              <w:cnfStyle w:val="000000010000" w:firstRow="0" w:lastRow="0" w:firstColumn="0" w:lastColumn="0" w:oddVBand="0" w:evenVBand="0" w:oddHBand="0" w:evenHBand="1" w:firstRowFirstColumn="0" w:firstRowLastColumn="0" w:lastRowFirstColumn="0" w:lastRowLastColumn="0"/>
            </w:pPr>
            <w:hyperlink r:id="rId47">
              <w:r>
                <w:rPr>
                  <w:color w:val="0000FF" w:themeColor="hyperlink"/>
                  <w:u w:val="single"/>
                </w:rPr>
                <w:t>30697957</w:t>
              </w:r>
            </w:hyperlink>
            <w:r>
              <w:t xml:space="preserve"> ['Cha</w:t>
            </w:r>
            <w:r>
              <w:t>ndrakasan S', 'Chandra S', '</w:t>
            </w:r>
            <w:r>
              <w:rPr>
                <w:b/>
                <w:u w:val="single"/>
              </w:rPr>
              <w:t>Davila Saldana BJ</w:t>
            </w:r>
            <w:r>
              <w:t>', 'Torgerson TR', 'Buchbinder D'], Primary immune regulatory disorders for the pediatric hematologist and oncologist: A case-based review, May-2019, 29-Jan-2019, Pediatric blood &amp; cancer, 66(5):e27619</w:t>
            </w:r>
          </w:p>
        </w:tc>
      </w:tr>
      <w:tr w:rsidR="00DA4C4A" w:rsidTr="00DA4C4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DA4C4A" w:rsidRDefault="00971FA4">
            <w:r>
              <w:t>37</w:t>
            </w:r>
          </w:p>
        </w:tc>
        <w:tc>
          <w:tcPr>
            <w:tcW w:w="8934" w:type="dxa"/>
          </w:tcPr>
          <w:p w:rsidR="00DA4C4A" w:rsidRDefault="00971FA4">
            <w:pPr>
              <w:cnfStyle w:val="000000100000" w:firstRow="0" w:lastRow="0" w:firstColumn="0" w:lastColumn="0" w:oddVBand="0" w:evenVBand="0" w:oddHBand="1" w:evenHBand="0" w:firstRowFirstColumn="0" w:firstRowLastColumn="0" w:lastRowFirstColumn="0" w:lastRowLastColumn="0"/>
            </w:pPr>
            <w:hyperlink r:id="rId48">
              <w:r>
                <w:rPr>
                  <w:color w:val="0000FF" w:themeColor="hyperlink"/>
                  <w:u w:val="single"/>
                </w:rPr>
                <w:t>30174143</w:t>
              </w:r>
            </w:hyperlink>
            <w:r>
              <w:t xml:space="preserve"> ['Rolfes MC', 'Sriaroon P', '</w:t>
            </w:r>
            <w:r>
              <w:rPr>
                <w:b/>
                <w:u w:val="single"/>
              </w:rPr>
              <w:t>Dávila Saldaña BJ</w:t>
            </w:r>
            <w:r>
              <w:t>', 'Dvorak CC', 'Chapdelaine H', 'Ferdman RM', 'Chen K', 'Jolles S', 'Patel NC', 'Kim YJ', 'Tarrant TK', 'Martelius T', 'Seppanen M', 'Joshi AY'],</w:t>
            </w:r>
            <w:r>
              <w:t xml:space="preserve"> Chronic norovirus infection in primary immune deficiency disorders: an international case series, Jan-2019, 12-Aug-2018, Diagnostic microbiology and infectious disease, 93(1):69-73</w:t>
            </w:r>
          </w:p>
        </w:tc>
      </w:tr>
      <w:tr w:rsidR="00DA4C4A" w:rsidTr="00DA4C4A">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DA4C4A" w:rsidRDefault="00971FA4">
            <w:r>
              <w:t>38</w:t>
            </w:r>
          </w:p>
        </w:tc>
        <w:tc>
          <w:tcPr>
            <w:tcW w:w="8934" w:type="dxa"/>
          </w:tcPr>
          <w:p w:rsidR="00DA4C4A" w:rsidRDefault="00971FA4">
            <w:pPr>
              <w:cnfStyle w:val="000000010000" w:firstRow="0" w:lastRow="0" w:firstColumn="0" w:lastColumn="0" w:oddVBand="0" w:evenVBand="0" w:oddHBand="0" w:evenHBand="1" w:firstRowFirstColumn="0" w:firstRowLastColumn="0" w:lastRowFirstColumn="0" w:lastRowLastColumn="0"/>
            </w:pPr>
            <w:hyperlink r:id="rId49">
              <w:r>
                <w:rPr>
                  <w:color w:val="0000FF" w:themeColor="hyperlink"/>
                  <w:u w:val="single"/>
                </w:rPr>
                <w:t>30154114</w:t>
              </w:r>
            </w:hyperlink>
            <w:r>
              <w:t xml:space="preserve"> ['Haddad E', 'Logan BR', 'Griffith LM', 'Buckley RH', 'Parrott RE', 'Prockop SE', 'Small TN', 'Chaisson J', 'Dvorak CC', 'Murnane M', 'Kapoor N', 'Abdel-Azim H', 'Hanson IC', 'Martinez C', 'Bleesing JJH', 'Chandra S', 'Smith AR', 'Cavanaugh ME', 'Jyonouch</w:t>
            </w:r>
            <w:r>
              <w:t>i S', 'Sullivan KE', 'Burroughs L', 'Skoda-Smith S', 'Haight AE', 'Tumlin AG', 'Quigg TC', 'Taylor C', '</w:t>
            </w:r>
            <w:r>
              <w:rPr>
                <w:b/>
                <w:u w:val="single"/>
              </w:rPr>
              <w:t>Dávila Saldaña BJ</w:t>
            </w:r>
            <w:r>
              <w:t>', 'Keller MD', 'Seroogy CM', 'Desantes KB', 'Petrovic A', 'Leiding JW', 'Shyr DC', 'Decaluwe H', 'Teira P', 'Gillio AP', 'Knutsen AP',</w:t>
            </w:r>
            <w:r>
              <w:t xml:space="preserve"> 'Moore TB', 'Kletzel M', 'Craddock JA', 'Aquino V', 'Davis JH', 'Yu LC', 'Cuvelier GDE', 'Bednarski JJ', 'Goldman FD', 'Kang EM', 'Shereck E', 'Porteus MH', 'Connelly JA', 'Fleisher TA', 'Malech HL', 'Shearer WT', 'Szabolcs P', 'Thakar MS', 'Vander Lugt M</w:t>
            </w:r>
            <w:r>
              <w:t>T', 'Heimall J', 'Yin Z', 'Pulsipher MA', 'Pai SY', 'Kohn DB', 'Puck JM', 'Cowan MJ', "O'Reilly RJ", 'Notarangelo LD'], SCID genotype and 6-month posttransplant CD4 count predict survival and immune recovery, 25-Oct-2018, 28-Aug-2018, Blood, 132(17):1737-1</w:t>
            </w:r>
            <w:r>
              <w:t>749</w:t>
            </w:r>
          </w:p>
        </w:tc>
      </w:tr>
      <w:tr w:rsidR="00DA4C4A" w:rsidTr="00DA4C4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DA4C4A" w:rsidRDefault="00971FA4">
            <w:r>
              <w:t>39</w:t>
            </w:r>
          </w:p>
        </w:tc>
        <w:tc>
          <w:tcPr>
            <w:tcW w:w="8934" w:type="dxa"/>
          </w:tcPr>
          <w:p w:rsidR="00DA4C4A" w:rsidRDefault="00971FA4">
            <w:pPr>
              <w:cnfStyle w:val="000000100000" w:firstRow="0" w:lastRow="0" w:firstColumn="0" w:lastColumn="0" w:oddVBand="0" w:evenVBand="0" w:oddHBand="1" w:evenHBand="0" w:firstRowFirstColumn="0" w:firstRowLastColumn="0" w:lastRowFirstColumn="0" w:lastRowLastColumn="0"/>
            </w:pPr>
            <w:hyperlink r:id="rId50">
              <w:r>
                <w:rPr>
                  <w:color w:val="0000FF" w:themeColor="hyperlink"/>
                  <w:u w:val="single"/>
                </w:rPr>
                <w:t>30267241</w:t>
              </w:r>
            </w:hyperlink>
            <w:r>
              <w:t xml:space="preserve"> ['Hanisch BR', '</w:t>
            </w:r>
            <w:r>
              <w:rPr>
                <w:b/>
                <w:u w:val="single"/>
              </w:rPr>
              <w:t>Davila Saldana BJ</w:t>
            </w:r>
            <w:r>
              <w:t>', 'Keller MD', 'Song X'], High Rates of Community and Hospital Acquired Infections in Patients with Cellular Immunodeficiencies, Oct-2018, 29-Sep</w:t>
            </w:r>
            <w:r>
              <w:t>-2018, Journal of clinical immunology, 38(7):804-809</w:t>
            </w:r>
          </w:p>
        </w:tc>
      </w:tr>
      <w:tr w:rsidR="00DA4C4A" w:rsidTr="00DA4C4A">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DA4C4A" w:rsidRDefault="00971FA4">
            <w:r>
              <w:t>40</w:t>
            </w:r>
          </w:p>
        </w:tc>
        <w:tc>
          <w:tcPr>
            <w:tcW w:w="8934" w:type="dxa"/>
          </w:tcPr>
          <w:p w:rsidR="00DA4C4A" w:rsidRDefault="00971FA4">
            <w:pPr>
              <w:cnfStyle w:val="000000010000" w:firstRow="0" w:lastRow="0" w:firstColumn="0" w:lastColumn="0" w:oddVBand="0" w:evenVBand="0" w:oddHBand="0" w:evenHBand="1" w:firstRowFirstColumn="0" w:firstRowLastColumn="0" w:lastRowFirstColumn="0" w:lastRowLastColumn="0"/>
            </w:pPr>
            <w:hyperlink r:id="rId51">
              <w:r>
                <w:rPr>
                  <w:color w:val="0000FF" w:themeColor="hyperlink"/>
                  <w:u w:val="single"/>
                </w:rPr>
                <w:t>29472373</w:t>
              </w:r>
            </w:hyperlink>
            <w:r>
              <w:t xml:space="preserve"> ['</w:t>
            </w:r>
            <w:r>
              <w:rPr>
                <w:b/>
                <w:u w:val="single"/>
              </w:rPr>
              <w:t>Dávila Saldaña BJ</w:t>
            </w:r>
            <w:r>
              <w:t>'], HSCT for PID: not just for children, 22-Feb-2018, Blood, 131(8):843-844</w:t>
            </w:r>
          </w:p>
        </w:tc>
      </w:tr>
      <w:tr w:rsidR="00DA4C4A" w:rsidTr="00DA4C4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DA4C4A" w:rsidRDefault="00971FA4">
            <w:r>
              <w:t>41</w:t>
            </w:r>
          </w:p>
        </w:tc>
        <w:tc>
          <w:tcPr>
            <w:tcW w:w="8934" w:type="dxa"/>
          </w:tcPr>
          <w:p w:rsidR="00DA4C4A" w:rsidRDefault="00971FA4">
            <w:pPr>
              <w:cnfStyle w:val="000000100000" w:firstRow="0" w:lastRow="0" w:firstColumn="0" w:lastColumn="0" w:oddVBand="0" w:evenVBand="0" w:oddHBand="1" w:evenHBand="0" w:firstRowFirstColumn="0" w:firstRowLastColumn="0" w:lastRowFirstColumn="0" w:lastRowLastColumn="0"/>
            </w:pPr>
            <w:hyperlink r:id="rId52">
              <w:r>
                <w:rPr>
                  <w:color w:val="0000FF" w:themeColor="hyperlink"/>
                  <w:u w:val="single"/>
                </w:rPr>
                <w:t>29021228</w:t>
              </w:r>
            </w:hyperlink>
            <w:r>
              <w:t xml:space="preserve"> ['Heimall J', 'Logan BR', 'Cowan MJ', 'Notarangelo LD', 'Griffith LM', 'Puck JM', 'Kohn DB', 'Pulsipher MA', 'Parikh S', 'Martinez C', 'Kapoor N', "O'Reilly R", 'Boyer M', 'Pai SY', 'Goldman F', 'Burroughs L', 'Chandra</w:t>
            </w:r>
            <w:r>
              <w:t xml:space="preserve"> S', 'Kletzel M', 'Thakar M', 'Connelly J', 'Cuvelier G', '</w:t>
            </w:r>
            <w:r>
              <w:rPr>
                <w:b/>
                <w:u w:val="single"/>
              </w:rPr>
              <w:t>Davila Saldana BJ</w:t>
            </w:r>
            <w:r>
              <w:t>', 'Shereck E', 'Knutsen A', 'Sullivan KE', 'DeSantes K', 'Gillio A', 'Haddad E', 'Petrovic A', 'Quigg T', 'Smith AR', 'Stenger E', 'Yin Z', 'Shearer WT', 'Fleisher T', 'Buckley RH</w:t>
            </w:r>
            <w:r>
              <w:t xml:space="preserve">', 'Dvorak CC'], Immune reconstitution and survival of 100 SCID patients post-hematopoietic cell transplant: a PIDTC natural history </w:t>
            </w:r>
            <w:r>
              <w:lastRenderedPageBreak/>
              <w:t>study, 21-Dec-2017, 11-Oct-2017, Blood, 130(25):2718-2727</w:t>
            </w:r>
          </w:p>
        </w:tc>
      </w:tr>
      <w:tr w:rsidR="00DA4C4A" w:rsidTr="00DA4C4A">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DA4C4A" w:rsidRDefault="00971FA4">
            <w:r>
              <w:lastRenderedPageBreak/>
              <w:t>42</w:t>
            </w:r>
          </w:p>
        </w:tc>
        <w:tc>
          <w:tcPr>
            <w:tcW w:w="8934" w:type="dxa"/>
          </w:tcPr>
          <w:p w:rsidR="00DA4C4A" w:rsidRDefault="00971FA4">
            <w:pPr>
              <w:cnfStyle w:val="000000010000" w:firstRow="0" w:lastRow="0" w:firstColumn="0" w:lastColumn="0" w:oddVBand="0" w:evenVBand="0" w:oddHBand="0" w:evenHBand="1" w:firstRowFirstColumn="0" w:firstRowLastColumn="0" w:lastRowFirstColumn="0" w:lastRowLastColumn="0"/>
            </w:pPr>
            <w:hyperlink r:id="rId53">
              <w:r>
                <w:rPr>
                  <w:color w:val="0000FF" w:themeColor="hyperlink"/>
                  <w:u w:val="single"/>
                </w:rPr>
                <w:t>2</w:t>
              </w:r>
              <w:r>
                <w:rPr>
                  <w:color w:val="0000FF" w:themeColor="hyperlink"/>
                  <w:u w:val="single"/>
                </w:rPr>
                <w:t>6371693</w:t>
              </w:r>
            </w:hyperlink>
            <w:r>
              <w:t xml:space="preserve"> ['Kannan JA', 'Dávila-Saldaña BJ', 'Zhang K', 'Filipovich AH', 'Kucuk ZY'], Activated phosphoinositide 3-kinase δ syndrome in a patient with a former diagnosis of common variable immune deficiency, bronchiectasis, and lymphoproliferative disease, N</w:t>
            </w:r>
            <w:r>
              <w:t>ov-2015, 12-Sep-2015, Annals of allergy, asthma &amp; immunology : official publication of the American College of Allergy, Asthma, &amp; Immunology, 115(5):452-4</w:t>
            </w:r>
            <w:r>
              <w:rPr>
                <w:b/>
                <w:u w:val="single"/>
              </w:rPr>
              <w:t>Davila-Saldana B</w:t>
            </w:r>
          </w:p>
        </w:tc>
      </w:tr>
      <w:tr w:rsidR="00DA4C4A" w:rsidTr="00DA4C4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DA4C4A" w:rsidRDefault="00971FA4">
            <w:r>
              <w:t>43</w:t>
            </w:r>
          </w:p>
        </w:tc>
        <w:tc>
          <w:tcPr>
            <w:tcW w:w="8934" w:type="dxa"/>
          </w:tcPr>
          <w:p w:rsidR="00DA4C4A" w:rsidRDefault="00971FA4">
            <w:pPr>
              <w:cnfStyle w:val="000000100000" w:firstRow="0" w:lastRow="0" w:firstColumn="0" w:lastColumn="0" w:oddVBand="0" w:evenVBand="0" w:oddHBand="1" w:evenHBand="0" w:firstRowFirstColumn="0" w:firstRowLastColumn="0" w:lastRowFirstColumn="0" w:lastRowLastColumn="0"/>
            </w:pPr>
            <w:hyperlink r:id="rId54">
              <w:r>
                <w:rPr>
                  <w:color w:val="0000FF" w:themeColor="hyperlink"/>
                  <w:u w:val="single"/>
                </w:rPr>
                <w:t>23405946</w:t>
              </w:r>
            </w:hyperlink>
            <w:r>
              <w:t xml:space="preserve"> ['Carlberg V</w:t>
            </w:r>
            <w:r>
              <w:t>M', 'Lofgren SM', 'Mann JA', 'Austin JP', 'Nolt D', 'Shereck EB', '</w:t>
            </w:r>
            <w:r>
              <w:rPr>
                <w:b/>
                <w:u w:val="single"/>
              </w:rPr>
              <w:t>Davila-Saldana B</w:t>
            </w:r>
            <w:r>
              <w:t xml:space="preserve">', 'Zonana J', 'Krol AL'], Hypohidrotic ectodermal dysplasia, osteopetrosis, lymphedema, and immunodeficiency in an infant with multiple opportunistic infections, Dec-2014, </w:t>
            </w:r>
            <w:r>
              <w:t>14-Feb-2013, Pediatric dermatology, 31(6):716-21</w:t>
            </w:r>
          </w:p>
        </w:tc>
      </w:tr>
    </w:tbl>
    <w:p w:rsidR="00EF569E" w:rsidRPr="003129F9" w:rsidRDefault="00EF569E" w:rsidP="00763471">
      <w:pPr>
        <w:spacing w:after="0" w:line="240" w:lineRule="auto"/>
        <w:rPr>
          <w:rFonts w:ascii="Arial" w:hAnsi="Arial" w:cs="Arial"/>
          <w:sz w:val="18"/>
          <w:szCs w:val="18"/>
        </w:rPr>
      </w:pPr>
    </w:p>
    <w:tbl>
      <w:tblPr>
        <w:tblStyle w:val="MediumShading1-Accent1"/>
        <w:tblW w:w="5000" w:type="pct"/>
        <w:tblLayout w:type="fixed"/>
        <w:tblLook w:val="04A0" w:firstRow="1" w:lastRow="0" w:firstColumn="1" w:lastColumn="0" w:noHBand="0" w:noVBand="1"/>
      </w:tblPr>
      <w:tblGrid>
        <w:gridCol w:w="642"/>
        <w:gridCol w:w="8934"/>
      </w:tblGrid>
      <w:tr w:rsidR="0097780E" w:rsidTr="0097780E">
        <w:trPr>
          <w:cnfStyle w:val="100000000000" w:firstRow="1" w:lastRow="0" w:firstColumn="0" w:lastColumn="0" w:oddVBand="0" w:evenVBand="0" w:oddHBand="0" w:evenHBand="0" w:firstRowFirstColumn="0" w:firstRowLastColumn="0" w:lastRowFirstColumn="0" w:lastRowLastColumn="0"/>
          <w:cantSplit/>
          <w:trHeight w:val="288"/>
          <w:tblHeader/>
        </w:trPr>
        <w:tc>
          <w:tcPr>
            <w:cnfStyle w:val="001000000000" w:firstRow="0" w:lastRow="0" w:firstColumn="1" w:lastColumn="0" w:oddVBand="0" w:evenVBand="0" w:oddHBand="0" w:evenHBand="0" w:firstRowFirstColumn="0" w:firstRowLastColumn="0" w:lastRowFirstColumn="0" w:lastRowLastColumn="0"/>
            <w:tcW w:w="5000" w:type="pct"/>
            <w:gridSpan w:val="2"/>
          </w:tcPr>
          <w:p w:rsidR="0097780E" w:rsidRPr="0097780E" w:rsidRDefault="0097780E" w:rsidP="0097780E">
            <w:pPr>
              <w:pStyle w:val="11TableHeader"/>
              <w:rPr>
                <w:color w:val="FFFFFF"/>
              </w:rPr>
            </w:pPr>
            <w:r w:rsidRPr="0097780E">
              <w:rPr>
                <w:color w:val="FFFFFF"/>
              </w:rPr>
              <w:t>Books and Book Chapters</w:t>
            </w:r>
          </w:p>
        </w:tc>
      </w:tr>
      <w:tr w:rsidR="0097780E" w:rsidTr="0097780E">
        <w:trPr>
          <w:cnfStyle w:val="100000000000" w:firstRow="1" w:lastRow="0" w:firstColumn="0" w:lastColumn="0" w:oddVBand="0" w:evenVBand="0" w:oddHBand="0" w:evenHBand="0" w:firstRowFirstColumn="0" w:firstRowLastColumn="0" w:lastRowFirstColumn="0" w:lastRowLastColumn="0"/>
          <w:cantSplit/>
          <w:trHeight w:val="288"/>
          <w:tblHeader/>
        </w:trPr>
        <w:tc>
          <w:tcPr>
            <w:cnfStyle w:val="001000000000" w:firstRow="0" w:lastRow="0" w:firstColumn="1" w:lastColumn="0" w:oddVBand="0" w:evenVBand="0" w:oddHBand="0" w:evenHBand="0" w:firstRowFirstColumn="0" w:firstRowLastColumn="0" w:lastRowFirstColumn="0" w:lastRowLastColumn="0"/>
            <w:tcW w:w="335" w:type="pct"/>
            <w:shd w:val="clear" w:color="auto" w:fill="91ADD7"/>
          </w:tcPr>
          <w:p w:rsidR="0097780E" w:rsidRPr="0097780E" w:rsidRDefault="0097780E" w:rsidP="0097780E">
            <w:pPr>
              <w:pStyle w:val="12TableTitle"/>
              <w:jc w:val="left"/>
              <w:rPr>
                <w:color w:val="000000"/>
                <w:sz w:val="18"/>
              </w:rPr>
            </w:pPr>
            <w:proofErr w:type="spellStart"/>
            <w:r w:rsidRPr="0097780E">
              <w:rPr>
                <w:color w:val="000000"/>
                <w:sz w:val="18"/>
              </w:rPr>
              <w:t>S.No</w:t>
            </w:r>
            <w:proofErr w:type="spellEnd"/>
          </w:p>
        </w:tc>
        <w:tc>
          <w:tcPr>
            <w:tcW w:w="4665" w:type="pct"/>
            <w:shd w:val="clear" w:color="auto" w:fill="91ADD7"/>
          </w:tcPr>
          <w:p w:rsidR="0097780E" w:rsidRPr="0097780E" w:rsidRDefault="00751888" w:rsidP="00751888">
            <w:pPr>
              <w:pStyle w:val="12TableTitle"/>
              <w:cnfStyle w:val="100000000000" w:firstRow="1" w:lastRow="0" w:firstColumn="0" w:lastColumn="0" w:oddVBand="0" w:evenVBand="0" w:oddHBand="0" w:evenHBand="0" w:firstRowFirstColumn="0" w:firstRowLastColumn="0" w:lastRowFirstColumn="0" w:lastRowLastColumn="0"/>
              <w:rPr>
                <w:color w:val="000000"/>
                <w:sz w:val="18"/>
              </w:rPr>
            </w:pPr>
            <w:r w:rsidRPr="00751888">
              <w:rPr>
                <w:color w:val="000000"/>
                <w:sz w:val="18"/>
                <w:u w:val="single"/>
              </w:rPr>
              <w:t>Role</w:t>
            </w:r>
            <w:r w:rsidR="0097780E" w:rsidRPr="0097780E">
              <w:rPr>
                <w:color w:val="000000"/>
                <w:sz w:val="18"/>
              </w:rPr>
              <w:t>: Book Title</w:t>
            </w:r>
            <w:r>
              <w:rPr>
                <w:color w:val="000000"/>
                <w:sz w:val="18"/>
              </w:rPr>
              <w:t>:</w:t>
            </w:r>
            <w:r w:rsidR="008D3881">
              <w:rPr>
                <w:color w:val="000000"/>
                <w:sz w:val="18"/>
              </w:rPr>
              <w:t xml:space="preserve"> Chapter Title [Publisher, </w:t>
            </w:r>
            <w:r w:rsidR="007B0ED5">
              <w:rPr>
                <w:color w:val="000000"/>
                <w:sz w:val="18"/>
              </w:rPr>
              <w:t xml:space="preserve">Publication </w:t>
            </w:r>
            <w:r w:rsidR="007B0ED5" w:rsidRPr="007B0ED5">
              <w:rPr>
                <w:color w:val="000000"/>
                <w:sz w:val="18"/>
              </w:rPr>
              <w:t>Date</w:t>
            </w:r>
            <w:r w:rsidR="0097780E" w:rsidRPr="0097780E">
              <w:rPr>
                <w:color w:val="000000"/>
                <w:sz w:val="18"/>
              </w:rPr>
              <w:t xml:space="preserve">] </w:t>
            </w:r>
          </w:p>
        </w:tc>
      </w:tr>
      <w:tr w:rsidR="00DA4C4A" w:rsidTr="00DA4C4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DA4C4A" w:rsidRDefault="00971FA4">
            <w:r>
              <w:t>1</w:t>
            </w:r>
          </w:p>
        </w:tc>
        <w:tc>
          <w:tcPr>
            <w:tcW w:w="8934" w:type="dxa"/>
          </w:tcPr>
          <w:p w:rsidR="00DA4C4A" w:rsidRDefault="00971FA4">
            <w:pPr>
              <w:cnfStyle w:val="000000100000" w:firstRow="0" w:lastRow="0" w:firstColumn="0" w:lastColumn="0" w:oddVBand="0" w:evenVBand="0" w:oddHBand="1" w:evenHBand="0" w:firstRowFirstColumn="0" w:firstRowLastColumn="0" w:lastRowFirstColumn="0" w:lastRowLastColumn="0"/>
            </w:pPr>
            <w:r>
              <w:t xml:space="preserve">Author: Biochemical and Molecular Basis of Pediatric Disease, Fifth Edition: Primary immunodeficiency </w:t>
            </w:r>
            <w:r>
              <w:t>diseases [Academic Press, Jan-2021]</w:t>
            </w:r>
          </w:p>
        </w:tc>
      </w:tr>
    </w:tbl>
    <w:p w:rsidR="00ED2C0E" w:rsidRDefault="00ED2C0E" w:rsidP="00763471">
      <w:pPr>
        <w:spacing w:after="0" w:line="240" w:lineRule="auto"/>
        <w:rPr>
          <w:rFonts w:ascii="Arial" w:hAnsi="Arial" w:cs="Arial"/>
          <w:sz w:val="18"/>
          <w:szCs w:val="18"/>
        </w:rPr>
      </w:pPr>
    </w:p>
    <w:p w:rsidR="00E9729C" w:rsidRDefault="00E9729C" w:rsidP="00763471">
      <w:pPr>
        <w:spacing w:after="0" w:line="240" w:lineRule="auto"/>
        <w:rPr>
          <w:rFonts w:ascii="Arial" w:hAnsi="Arial" w:cs="Arial"/>
          <w:sz w:val="18"/>
          <w:szCs w:val="18"/>
        </w:rPr>
      </w:pPr>
    </w:p>
    <w:tbl>
      <w:tblPr>
        <w:tblStyle w:val="MediumShading1-Accent1"/>
        <w:tblW w:w="5000" w:type="pct"/>
        <w:tblLayout w:type="fixed"/>
        <w:tblLook w:val="04A0" w:firstRow="1" w:lastRow="0" w:firstColumn="1" w:lastColumn="0" w:noHBand="0" w:noVBand="1"/>
      </w:tblPr>
      <w:tblGrid>
        <w:gridCol w:w="2262"/>
        <w:gridCol w:w="7314"/>
      </w:tblGrid>
      <w:tr w:rsidR="002433E1" w:rsidTr="00796C14">
        <w:trPr>
          <w:cnfStyle w:val="100000000000" w:firstRow="1" w:lastRow="0" w:firstColumn="0" w:lastColumn="0" w:oddVBand="0" w:evenVBand="0" w:oddHBand="0" w:evenHBand="0" w:firstRowFirstColumn="0" w:firstRowLastColumn="0" w:lastRowFirstColumn="0" w:lastRowLastColumn="0"/>
          <w:trHeight w:val="288"/>
          <w:tblHeader/>
        </w:trPr>
        <w:tc>
          <w:tcPr>
            <w:cnfStyle w:val="001000000000" w:firstRow="0" w:lastRow="0" w:firstColumn="1" w:lastColumn="0" w:oddVBand="0" w:evenVBand="0" w:oddHBand="0" w:evenHBand="0" w:firstRowFirstColumn="0" w:firstRowLastColumn="0" w:lastRowFirstColumn="0" w:lastRowLastColumn="0"/>
            <w:tcW w:w="5000" w:type="pct"/>
            <w:gridSpan w:val="2"/>
          </w:tcPr>
          <w:p w:rsidR="002433E1" w:rsidRDefault="002433E1" w:rsidP="001D1E18">
            <w:pPr>
              <w:pStyle w:val="11TableHeader"/>
              <w:rPr>
                <w:rFonts w:ascii="Arial" w:hAnsi="Arial" w:cs="Arial"/>
                <w:sz w:val="18"/>
                <w:szCs w:val="18"/>
              </w:rPr>
            </w:pPr>
            <w:r w:rsidRPr="00D02EBB">
              <w:t>KOL Network</w:t>
            </w:r>
          </w:p>
        </w:tc>
      </w:tr>
      <w:tr w:rsidR="002433E1" w:rsidTr="001D1E18">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5000" w:type="pct"/>
            <w:gridSpan w:val="2"/>
          </w:tcPr>
          <w:p w:rsidR="002433E1" w:rsidRDefault="00971FA4" w:rsidP="001D1E18">
            <w:pPr>
              <w:jc w:val="left"/>
              <w:rPr>
                <w:rFonts w:ascii="Arial" w:hAnsi="Arial" w:cs="Arial"/>
                <w:szCs w:val="18"/>
              </w:rPr>
            </w:pPr>
            <w:hyperlink r:id="rId55">
              <w:r w:rsidR="002433E1">
                <w:rPr>
                  <w:color w:val="0000FF" w:themeColor="hyperlink"/>
                  <w:u w:val="single"/>
                </w:rPr>
                <w:t>View KOL Netw</w:t>
              </w:r>
              <w:bookmarkStart w:id="0" w:name="_GoBack"/>
              <w:bookmarkEnd w:id="0"/>
              <w:r w:rsidR="002433E1">
                <w:rPr>
                  <w:color w:val="0000FF" w:themeColor="hyperlink"/>
                  <w:u w:val="single"/>
                </w:rPr>
                <w:t>o</w:t>
              </w:r>
              <w:r w:rsidR="002433E1">
                <w:rPr>
                  <w:color w:val="0000FF" w:themeColor="hyperlink"/>
                  <w:u w:val="single"/>
                </w:rPr>
                <w:t>rk</w:t>
              </w:r>
            </w:hyperlink>
          </w:p>
        </w:tc>
      </w:tr>
      <w:tr w:rsidR="002433E1" w:rsidTr="001D1E18">
        <w:trPr>
          <w:cnfStyle w:val="000000010000" w:firstRow="0" w:lastRow="0" w:firstColumn="0" w:lastColumn="0" w:oddVBand="0" w:evenVBand="0" w:oddHBand="0" w:evenHBand="1"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181" w:type="pct"/>
          </w:tcPr>
          <w:p w:rsidR="002433E1" w:rsidRPr="00D02EBB" w:rsidRDefault="002433E1" w:rsidP="001D1E18">
            <w:pPr>
              <w:pStyle w:val="12TableTitle"/>
              <w:jc w:val="left"/>
            </w:pPr>
            <w:r w:rsidRPr="00D02EBB">
              <w:t>KOLs From Same Institutions</w:t>
            </w:r>
          </w:p>
        </w:tc>
        <w:tc>
          <w:tcPr>
            <w:tcW w:w="3819" w:type="pct"/>
          </w:tcPr>
          <w:p w:rsidR="00DA4C4A" w:rsidRDefault="00971FA4">
            <w:pPr>
              <w:cnfStyle w:val="000000010000" w:firstRow="0" w:lastRow="0" w:firstColumn="0" w:lastColumn="0" w:oddVBand="0" w:evenVBand="0" w:oddHBand="0" w:evenHBand="1" w:firstRowFirstColumn="0" w:firstRowLastColumn="0" w:lastRowFirstColumn="0" w:lastRowLastColumn="0"/>
            </w:pPr>
            <w:r>
              <w:t>Maurizio Miano</w:t>
            </w:r>
          </w:p>
        </w:tc>
      </w:tr>
      <w:tr w:rsidR="002433E1" w:rsidTr="001D1E18">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181" w:type="pct"/>
          </w:tcPr>
          <w:p w:rsidR="002433E1" w:rsidRPr="00D02EBB" w:rsidRDefault="002433E1" w:rsidP="001D1E18">
            <w:pPr>
              <w:pStyle w:val="12TableTitle"/>
              <w:jc w:val="left"/>
            </w:pPr>
            <w:r w:rsidRPr="00D02EBB">
              <w:t>KOLs From Same City</w:t>
            </w:r>
          </w:p>
        </w:tc>
        <w:tc>
          <w:tcPr>
            <w:tcW w:w="3819" w:type="pct"/>
          </w:tcPr>
          <w:p w:rsidR="00DA4C4A" w:rsidRDefault="00971FA4">
            <w:pPr>
              <w:jc w:val="center"/>
              <w:cnfStyle w:val="000000100000" w:firstRow="0" w:lastRow="0" w:firstColumn="0" w:lastColumn="0" w:oddVBand="0" w:evenVBand="0" w:oddHBand="1" w:evenHBand="0" w:firstRowFirstColumn="0" w:firstRowLastColumn="0" w:lastRowFirstColumn="0" w:lastRowLastColumn="0"/>
            </w:pPr>
            <w:r>
              <w:t>-</w:t>
            </w:r>
          </w:p>
        </w:tc>
      </w:tr>
      <w:tr w:rsidR="002433E1" w:rsidTr="001D1E18">
        <w:trPr>
          <w:cnfStyle w:val="000000010000" w:firstRow="0" w:lastRow="0" w:firstColumn="0" w:lastColumn="0" w:oddVBand="0" w:evenVBand="0" w:oddHBand="0" w:evenHBand="1"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181" w:type="pct"/>
          </w:tcPr>
          <w:p w:rsidR="002433E1" w:rsidRPr="00D02EBB" w:rsidRDefault="002433E1" w:rsidP="001D1E18">
            <w:pPr>
              <w:pStyle w:val="12TableTitle"/>
              <w:jc w:val="left"/>
            </w:pPr>
            <w:r w:rsidRPr="00D02EBB">
              <w:t>KOLs From Same Society</w:t>
            </w:r>
          </w:p>
        </w:tc>
        <w:tc>
          <w:tcPr>
            <w:tcW w:w="3819" w:type="pct"/>
          </w:tcPr>
          <w:p w:rsidR="00DA4C4A" w:rsidRDefault="00971FA4">
            <w:pPr>
              <w:cnfStyle w:val="000000010000" w:firstRow="0" w:lastRow="0" w:firstColumn="0" w:lastColumn="0" w:oddVBand="0" w:evenVBand="0" w:oddHBand="0" w:evenHBand="1" w:firstRowFirstColumn="0" w:firstRowLastColumn="0" w:lastRowFirstColumn="0" w:lastRowLastColumn="0"/>
            </w:pPr>
            <w:r>
              <w:t xml:space="preserve">Donald Cuong Vinh; </w:t>
            </w:r>
            <w:r>
              <w:t>Olivier Boyer; Scott William Canna; Christopher Craig Dvorak; Juanita Valdes-Camacho; Talal Imad Mousallem; Analía Gisela Seminario; Luke Allen Wall; Antônio Condino-Neto; Gesmar Rodrigues Silva Segundo</w:t>
            </w:r>
          </w:p>
        </w:tc>
      </w:tr>
      <w:tr w:rsidR="002433E1" w:rsidTr="001D1E18">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181" w:type="pct"/>
          </w:tcPr>
          <w:p w:rsidR="002433E1" w:rsidRPr="00D02EBB" w:rsidRDefault="002433E1" w:rsidP="001D1E18">
            <w:pPr>
              <w:pStyle w:val="12TableTitle"/>
              <w:jc w:val="left"/>
            </w:pPr>
            <w:r w:rsidRPr="00D02EBB">
              <w:t>KOLs From Same Conference</w:t>
            </w:r>
          </w:p>
        </w:tc>
        <w:tc>
          <w:tcPr>
            <w:tcW w:w="3819" w:type="pct"/>
          </w:tcPr>
          <w:p w:rsidR="00DA4C4A" w:rsidRDefault="00971FA4">
            <w:pPr>
              <w:jc w:val="center"/>
              <w:cnfStyle w:val="000000100000" w:firstRow="0" w:lastRow="0" w:firstColumn="0" w:lastColumn="0" w:oddVBand="0" w:evenVBand="0" w:oddHBand="1" w:evenHBand="0" w:firstRowFirstColumn="0" w:firstRowLastColumn="0" w:lastRowFirstColumn="0" w:lastRowLastColumn="0"/>
            </w:pPr>
            <w:r>
              <w:t>-</w:t>
            </w:r>
          </w:p>
        </w:tc>
      </w:tr>
      <w:tr w:rsidR="002433E1" w:rsidTr="001D1E18">
        <w:trPr>
          <w:cnfStyle w:val="000000010000" w:firstRow="0" w:lastRow="0" w:firstColumn="0" w:lastColumn="0" w:oddVBand="0" w:evenVBand="0" w:oddHBand="0" w:evenHBand="1"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181" w:type="pct"/>
          </w:tcPr>
          <w:p w:rsidR="002433E1" w:rsidRPr="00D02EBB" w:rsidRDefault="002433E1" w:rsidP="001D1E18">
            <w:pPr>
              <w:pStyle w:val="12TableTitle"/>
              <w:jc w:val="left"/>
            </w:pPr>
            <w:r w:rsidRPr="00D02EBB">
              <w:t>Co-Authors(Publications)</w:t>
            </w:r>
          </w:p>
        </w:tc>
        <w:tc>
          <w:tcPr>
            <w:tcW w:w="3819" w:type="pct"/>
          </w:tcPr>
          <w:p w:rsidR="00DA4C4A" w:rsidRDefault="00971FA4">
            <w:pPr>
              <w:cnfStyle w:val="000000010000" w:firstRow="0" w:lastRow="0" w:firstColumn="0" w:lastColumn="0" w:oddVBand="0" w:evenVBand="0" w:oddHBand="0" w:evenHBand="1" w:firstRowFirstColumn="0" w:firstRowLastColumn="0" w:lastRowFirstColumn="0" w:lastRowLastColumn="0"/>
            </w:pPr>
            <w:r>
              <w:t>Christopher Craig Dvorak; Talal Imad Mousallem; Paul Bastard</w:t>
            </w:r>
          </w:p>
        </w:tc>
      </w:tr>
    </w:tbl>
    <w:p w:rsidR="00A41FF4" w:rsidRDefault="00A41FF4" w:rsidP="00DB3165">
      <w:pPr>
        <w:spacing w:after="0" w:line="240" w:lineRule="auto"/>
        <w:rPr>
          <w:rFonts w:ascii="Arial" w:hAnsi="Arial" w:cs="Arial"/>
          <w:sz w:val="18"/>
          <w:szCs w:val="18"/>
        </w:rPr>
      </w:pPr>
    </w:p>
    <w:p w:rsidR="004F5306" w:rsidRPr="003129F9" w:rsidRDefault="004F5306" w:rsidP="00DB3165">
      <w:pPr>
        <w:spacing w:after="0"/>
        <w:rPr>
          <w:rFonts w:ascii="Arial" w:hAnsi="Arial" w:cs="Arial"/>
          <w:sz w:val="18"/>
          <w:szCs w:val="18"/>
        </w:rPr>
      </w:pPr>
    </w:p>
    <w:sectPr w:rsidR="004F5306" w:rsidRPr="003129F9" w:rsidSect="00CF36D3">
      <w:footerReference w:type="default" r:id="rId56"/>
      <w:type w:val="continuous"/>
      <w:pgSz w:w="12240" w:h="15840"/>
      <w:pgMar w:top="1440" w:right="1440" w:bottom="1440" w:left="1440" w:header="720" w:footer="720" w:gutter="0"/>
      <w:pgBorders w:offsetFrom="page">
        <w:top w:val="single" w:sz="4" w:space="24" w:color="000000" w:themeColor="text1"/>
        <w:left w:val="single" w:sz="4" w:space="24" w:color="000000" w:themeColor="text1"/>
        <w:bottom w:val="single" w:sz="4" w:space="24" w:color="000000" w:themeColor="text1"/>
        <w:right w:val="single" w:sz="4" w:space="24" w:color="000000" w:themeColor="text1"/>
      </w:pgBorders>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971FA4" w:rsidRDefault="00971FA4" w:rsidP="0087104C">
      <w:pPr>
        <w:spacing w:after="0" w:line="240" w:lineRule="auto"/>
      </w:pPr>
      <w:r>
        <w:separator/>
      </w:r>
    </w:p>
  </w:endnote>
  <w:endnote w:type="continuationSeparator" w:id="0">
    <w:p w:rsidR="00971FA4" w:rsidRDefault="00971FA4" w:rsidP="0087104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35679458"/>
      <w:docPartObj>
        <w:docPartGallery w:val="Page Numbers (Bottom of Page)"/>
        <w:docPartUnique/>
      </w:docPartObj>
    </w:sdtPr>
    <w:sdtEndPr/>
    <w:sdtContent>
      <w:p w:rsidR="009143AA" w:rsidRDefault="009143AA">
        <w:pPr>
          <w:pStyle w:val="Footer"/>
          <w:jc w:val="right"/>
        </w:pPr>
        <w:r>
          <w:fldChar w:fldCharType="begin"/>
        </w:r>
        <w:r>
          <w:instrText xml:space="preserve"> PAGE   \* MERGEFORMAT </w:instrText>
        </w:r>
        <w:r>
          <w:fldChar w:fldCharType="separate"/>
        </w:r>
        <w:r w:rsidR="00215C68">
          <w:rPr>
            <w:noProof/>
          </w:rPr>
          <w:t>8</w:t>
        </w:r>
        <w:r>
          <w:rPr>
            <w:noProof/>
          </w:rPr>
          <w:fldChar w:fldCharType="end"/>
        </w:r>
      </w:p>
    </w:sdtContent>
  </w:sdt>
  <w:p w:rsidR="00DA4C4A" w:rsidRDefault="00971FA4">
    <w:r>
      <w:rPr>
        <w:rStyle w:val="CommentStyle"/>
      </w:rPr>
      <w:t>Last Updated Date: 07-Apr-2025</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971FA4" w:rsidRDefault="00971FA4" w:rsidP="0087104C">
      <w:pPr>
        <w:spacing w:after="0" w:line="240" w:lineRule="auto"/>
      </w:pPr>
      <w:r>
        <w:separator/>
      </w:r>
    </w:p>
  </w:footnote>
  <w:footnote w:type="continuationSeparator" w:id="0">
    <w:p w:rsidR="00971FA4" w:rsidRDefault="00971FA4" w:rsidP="0087104C">
      <w:pPr>
        <w:spacing w:after="0" w:line="240" w:lineRule="auto"/>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displayBackgroundShape/>
  <w:hideSpellingErrors/>
  <w:hideGrammaticalErrors/>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7104C"/>
    <w:rsid w:val="000048E6"/>
    <w:rsid w:val="00006412"/>
    <w:rsid w:val="00010791"/>
    <w:rsid w:val="00016510"/>
    <w:rsid w:val="000216B3"/>
    <w:rsid w:val="000303D5"/>
    <w:rsid w:val="00030E7D"/>
    <w:rsid w:val="000341C2"/>
    <w:rsid w:val="00036332"/>
    <w:rsid w:val="000427EC"/>
    <w:rsid w:val="000514C2"/>
    <w:rsid w:val="000529CF"/>
    <w:rsid w:val="00053914"/>
    <w:rsid w:val="00055C8A"/>
    <w:rsid w:val="0006528F"/>
    <w:rsid w:val="0007093D"/>
    <w:rsid w:val="0007182A"/>
    <w:rsid w:val="00072156"/>
    <w:rsid w:val="00073A8B"/>
    <w:rsid w:val="0007678D"/>
    <w:rsid w:val="000823E3"/>
    <w:rsid w:val="00086DA2"/>
    <w:rsid w:val="0009369C"/>
    <w:rsid w:val="000A2360"/>
    <w:rsid w:val="000A29CE"/>
    <w:rsid w:val="000A2C28"/>
    <w:rsid w:val="000A48BD"/>
    <w:rsid w:val="000A576C"/>
    <w:rsid w:val="000A5D9C"/>
    <w:rsid w:val="000A6975"/>
    <w:rsid w:val="000B03CE"/>
    <w:rsid w:val="000B0471"/>
    <w:rsid w:val="000B6177"/>
    <w:rsid w:val="000C529F"/>
    <w:rsid w:val="000C72F1"/>
    <w:rsid w:val="000D2A8D"/>
    <w:rsid w:val="000D3593"/>
    <w:rsid w:val="000D4C35"/>
    <w:rsid w:val="000D5079"/>
    <w:rsid w:val="000E3435"/>
    <w:rsid w:val="000E34E5"/>
    <w:rsid w:val="000F1EAE"/>
    <w:rsid w:val="000F4B57"/>
    <w:rsid w:val="000F5CAC"/>
    <w:rsid w:val="000F7E8B"/>
    <w:rsid w:val="00100957"/>
    <w:rsid w:val="001136BA"/>
    <w:rsid w:val="0011374B"/>
    <w:rsid w:val="00117319"/>
    <w:rsid w:val="00132B33"/>
    <w:rsid w:val="001330AE"/>
    <w:rsid w:val="00134A84"/>
    <w:rsid w:val="0013632E"/>
    <w:rsid w:val="00137C28"/>
    <w:rsid w:val="00145BEC"/>
    <w:rsid w:val="00152282"/>
    <w:rsid w:val="00164ED9"/>
    <w:rsid w:val="00166C66"/>
    <w:rsid w:val="00167A39"/>
    <w:rsid w:val="00174B89"/>
    <w:rsid w:val="001768ED"/>
    <w:rsid w:val="00181A7C"/>
    <w:rsid w:val="001820A2"/>
    <w:rsid w:val="00192F6D"/>
    <w:rsid w:val="00196D65"/>
    <w:rsid w:val="00196F89"/>
    <w:rsid w:val="00197660"/>
    <w:rsid w:val="001A1142"/>
    <w:rsid w:val="001A540F"/>
    <w:rsid w:val="001B6AC6"/>
    <w:rsid w:val="001C4BBD"/>
    <w:rsid w:val="001D1E18"/>
    <w:rsid w:val="001D611C"/>
    <w:rsid w:val="001F28DB"/>
    <w:rsid w:val="001F5806"/>
    <w:rsid w:val="001F796E"/>
    <w:rsid w:val="00200873"/>
    <w:rsid w:val="00201376"/>
    <w:rsid w:val="00205951"/>
    <w:rsid w:val="00205F8D"/>
    <w:rsid w:val="00211CA0"/>
    <w:rsid w:val="002125B0"/>
    <w:rsid w:val="00215C68"/>
    <w:rsid w:val="0022107C"/>
    <w:rsid w:val="002315D4"/>
    <w:rsid w:val="00234ADF"/>
    <w:rsid w:val="00237C91"/>
    <w:rsid w:val="00241A0C"/>
    <w:rsid w:val="002433E1"/>
    <w:rsid w:val="00244C4C"/>
    <w:rsid w:val="00246433"/>
    <w:rsid w:val="00246814"/>
    <w:rsid w:val="0025032E"/>
    <w:rsid w:val="0025155B"/>
    <w:rsid w:val="00260C1F"/>
    <w:rsid w:val="002615DC"/>
    <w:rsid w:val="002625D3"/>
    <w:rsid w:val="00264CA1"/>
    <w:rsid w:val="00273E0A"/>
    <w:rsid w:val="002804DD"/>
    <w:rsid w:val="0028245F"/>
    <w:rsid w:val="00283291"/>
    <w:rsid w:val="002852FF"/>
    <w:rsid w:val="00286EAD"/>
    <w:rsid w:val="00292DB1"/>
    <w:rsid w:val="00292E82"/>
    <w:rsid w:val="002C0322"/>
    <w:rsid w:val="002C7E24"/>
    <w:rsid w:val="002D522D"/>
    <w:rsid w:val="002E10D3"/>
    <w:rsid w:val="002E721E"/>
    <w:rsid w:val="002F031F"/>
    <w:rsid w:val="002F1331"/>
    <w:rsid w:val="002F14C2"/>
    <w:rsid w:val="002F4B29"/>
    <w:rsid w:val="002F5A94"/>
    <w:rsid w:val="002F67C6"/>
    <w:rsid w:val="002F7345"/>
    <w:rsid w:val="003003AD"/>
    <w:rsid w:val="00302445"/>
    <w:rsid w:val="00303A5A"/>
    <w:rsid w:val="0030462E"/>
    <w:rsid w:val="00306A9A"/>
    <w:rsid w:val="003129F9"/>
    <w:rsid w:val="003152EF"/>
    <w:rsid w:val="00322678"/>
    <w:rsid w:val="003246A7"/>
    <w:rsid w:val="0033034D"/>
    <w:rsid w:val="00332D82"/>
    <w:rsid w:val="00334B03"/>
    <w:rsid w:val="003428DF"/>
    <w:rsid w:val="0034737D"/>
    <w:rsid w:val="00350711"/>
    <w:rsid w:val="00351902"/>
    <w:rsid w:val="00356D39"/>
    <w:rsid w:val="00357290"/>
    <w:rsid w:val="00362187"/>
    <w:rsid w:val="003621D2"/>
    <w:rsid w:val="003806A3"/>
    <w:rsid w:val="00381B0F"/>
    <w:rsid w:val="00383F34"/>
    <w:rsid w:val="00394A43"/>
    <w:rsid w:val="00396F1A"/>
    <w:rsid w:val="003A627D"/>
    <w:rsid w:val="003B048A"/>
    <w:rsid w:val="003B0857"/>
    <w:rsid w:val="003B164A"/>
    <w:rsid w:val="003B26CF"/>
    <w:rsid w:val="003B3594"/>
    <w:rsid w:val="003B637F"/>
    <w:rsid w:val="003B655B"/>
    <w:rsid w:val="003C5A02"/>
    <w:rsid w:val="003D0C23"/>
    <w:rsid w:val="003D47CA"/>
    <w:rsid w:val="003D6476"/>
    <w:rsid w:val="003D78B8"/>
    <w:rsid w:val="003E112E"/>
    <w:rsid w:val="003E1706"/>
    <w:rsid w:val="003E34EA"/>
    <w:rsid w:val="003E497D"/>
    <w:rsid w:val="003E63AF"/>
    <w:rsid w:val="003F3531"/>
    <w:rsid w:val="003F4066"/>
    <w:rsid w:val="003F4ED8"/>
    <w:rsid w:val="004005C7"/>
    <w:rsid w:val="004058F4"/>
    <w:rsid w:val="00415B7D"/>
    <w:rsid w:val="004166A8"/>
    <w:rsid w:val="00416AC4"/>
    <w:rsid w:val="004174B6"/>
    <w:rsid w:val="004175AE"/>
    <w:rsid w:val="00423225"/>
    <w:rsid w:val="00434FFD"/>
    <w:rsid w:val="0043758A"/>
    <w:rsid w:val="00444E43"/>
    <w:rsid w:val="0044511B"/>
    <w:rsid w:val="00450AA5"/>
    <w:rsid w:val="004510E1"/>
    <w:rsid w:val="0045239D"/>
    <w:rsid w:val="0045789C"/>
    <w:rsid w:val="00457C19"/>
    <w:rsid w:val="0046715D"/>
    <w:rsid w:val="00470975"/>
    <w:rsid w:val="00470AE7"/>
    <w:rsid w:val="00471B4A"/>
    <w:rsid w:val="00477170"/>
    <w:rsid w:val="00486CB1"/>
    <w:rsid w:val="0049151F"/>
    <w:rsid w:val="004920A4"/>
    <w:rsid w:val="00493027"/>
    <w:rsid w:val="004947FF"/>
    <w:rsid w:val="00495D0F"/>
    <w:rsid w:val="004A264C"/>
    <w:rsid w:val="004A7414"/>
    <w:rsid w:val="004B05A2"/>
    <w:rsid w:val="004C0E05"/>
    <w:rsid w:val="004C1C71"/>
    <w:rsid w:val="004C6DE4"/>
    <w:rsid w:val="004C7F63"/>
    <w:rsid w:val="004D6FC1"/>
    <w:rsid w:val="004D73D0"/>
    <w:rsid w:val="004E3261"/>
    <w:rsid w:val="004E4813"/>
    <w:rsid w:val="004E57B1"/>
    <w:rsid w:val="004F0080"/>
    <w:rsid w:val="004F038E"/>
    <w:rsid w:val="004F1956"/>
    <w:rsid w:val="004F1AC9"/>
    <w:rsid w:val="004F244E"/>
    <w:rsid w:val="004F2B61"/>
    <w:rsid w:val="004F5306"/>
    <w:rsid w:val="004F69BB"/>
    <w:rsid w:val="00504ED6"/>
    <w:rsid w:val="00505487"/>
    <w:rsid w:val="0051019A"/>
    <w:rsid w:val="00512538"/>
    <w:rsid w:val="00513E4B"/>
    <w:rsid w:val="00516B8E"/>
    <w:rsid w:val="0052141B"/>
    <w:rsid w:val="00521598"/>
    <w:rsid w:val="005265D8"/>
    <w:rsid w:val="005306CD"/>
    <w:rsid w:val="005326AA"/>
    <w:rsid w:val="00533DB4"/>
    <w:rsid w:val="00536132"/>
    <w:rsid w:val="005452FB"/>
    <w:rsid w:val="00552D3B"/>
    <w:rsid w:val="0055394F"/>
    <w:rsid w:val="005545C7"/>
    <w:rsid w:val="00554AB5"/>
    <w:rsid w:val="0055620B"/>
    <w:rsid w:val="0055734B"/>
    <w:rsid w:val="00557C5F"/>
    <w:rsid w:val="00562C4F"/>
    <w:rsid w:val="0056337F"/>
    <w:rsid w:val="00564976"/>
    <w:rsid w:val="005704D4"/>
    <w:rsid w:val="00583D25"/>
    <w:rsid w:val="00591B2E"/>
    <w:rsid w:val="005A1899"/>
    <w:rsid w:val="005A2BA7"/>
    <w:rsid w:val="005A412F"/>
    <w:rsid w:val="005A4933"/>
    <w:rsid w:val="005A6E18"/>
    <w:rsid w:val="005A7C6D"/>
    <w:rsid w:val="005B0595"/>
    <w:rsid w:val="005C2FAA"/>
    <w:rsid w:val="005C6BFA"/>
    <w:rsid w:val="005D05F2"/>
    <w:rsid w:val="005D15AC"/>
    <w:rsid w:val="005D621F"/>
    <w:rsid w:val="005E5326"/>
    <w:rsid w:val="005E610E"/>
    <w:rsid w:val="005F0C38"/>
    <w:rsid w:val="005F5210"/>
    <w:rsid w:val="00600B60"/>
    <w:rsid w:val="0060213E"/>
    <w:rsid w:val="006030EB"/>
    <w:rsid w:val="00613EEA"/>
    <w:rsid w:val="0061571D"/>
    <w:rsid w:val="0063023A"/>
    <w:rsid w:val="00630FE7"/>
    <w:rsid w:val="0063451B"/>
    <w:rsid w:val="00641D15"/>
    <w:rsid w:val="00646899"/>
    <w:rsid w:val="00646D65"/>
    <w:rsid w:val="006630E2"/>
    <w:rsid w:val="00665AB5"/>
    <w:rsid w:val="0066691F"/>
    <w:rsid w:val="00671F2B"/>
    <w:rsid w:val="00673242"/>
    <w:rsid w:val="00675395"/>
    <w:rsid w:val="00677CEE"/>
    <w:rsid w:val="00685AD5"/>
    <w:rsid w:val="00691399"/>
    <w:rsid w:val="00696778"/>
    <w:rsid w:val="006A0B4E"/>
    <w:rsid w:val="006A4491"/>
    <w:rsid w:val="006B1024"/>
    <w:rsid w:val="006B39BF"/>
    <w:rsid w:val="006C1CCB"/>
    <w:rsid w:val="006C6139"/>
    <w:rsid w:val="006D3065"/>
    <w:rsid w:val="006D6CBF"/>
    <w:rsid w:val="006F3FD7"/>
    <w:rsid w:val="006F4F5E"/>
    <w:rsid w:val="006F56C0"/>
    <w:rsid w:val="006F5862"/>
    <w:rsid w:val="006F6E09"/>
    <w:rsid w:val="007016D6"/>
    <w:rsid w:val="007032D5"/>
    <w:rsid w:val="00706613"/>
    <w:rsid w:val="00715762"/>
    <w:rsid w:val="00722ACF"/>
    <w:rsid w:val="007301D4"/>
    <w:rsid w:val="0073259B"/>
    <w:rsid w:val="0073764D"/>
    <w:rsid w:val="00745CD6"/>
    <w:rsid w:val="00751888"/>
    <w:rsid w:val="007551F3"/>
    <w:rsid w:val="007558A0"/>
    <w:rsid w:val="00755A74"/>
    <w:rsid w:val="00763471"/>
    <w:rsid w:val="007634B0"/>
    <w:rsid w:val="00766F94"/>
    <w:rsid w:val="007677FA"/>
    <w:rsid w:val="0077000A"/>
    <w:rsid w:val="00770BDC"/>
    <w:rsid w:val="00780289"/>
    <w:rsid w:val="007806D9"/>
    <w:rsid w:val="00787F65"/>
    <w:rsid w:val="00794ED7"/>
    <w:rsid w:val="0079610D"/>
    <w:rsid w:val="00796C14"/>
    <w:rsid w:val="00797585"/>
    <w:rsid w:val="007A460D"/>
    <w:rsid w:val="007A4EFF"/>
    <w:rsid w:val="007B0448"/>
    <w:rsid w:val="007B0ED5"/>
    <w:rsid w:val="007C2691"/>
    <w:rsid w:val="007C3EBA"/>
    <w:rsid w:val="007D355D"/>
    <w:rsid w:val="007D3D58"/>
    <w:rsid w:val="007D52F8"/>
    <w:rsid w:val="007D7345"/>
    <w:rsid w:val="007E2959"/>
    <w:rsid w:val="007E49B0"/>
    <w:rsid w:val="007E530D"/>
    <w:rsid w:val="007F3251"/>
    <w:rsid w:val="007F55BD"/>
    <w:rsid w:val="007F725B"/>
    <w:rsid w:val="008036F8"/>
    <w:rsid w:val="0080398A"/>
    <w:rsid w:val="00806154"/>
    <w:rsid w:val="0081040F"/>
    <w:rsid w:val="00813B5D"/>
    <w:rsid w:val="008212BE"/>
    <w:rsid w:val="008265FA"/>
    <w:rsid w:val="008277D8"/>
    <w:rsid w:val="00832BB8"/>
    <w:rsid w:val="00837175"/>
    <w:rsid w:val="008465F4"/>
    <w:rsid w:val="00853BB3"/>
    <w:rsid w:val="008544D1"/>
    <w:rsid w:val="00855934"/>
    <w:rsid w:val="0086049D"/>
    <w:rsid w:val="008617BC"/>
    <w:rsid w:val="00863389"/>
    <w:rsid w:val="00863459"/>
    <w:rsid w:val="00863A9E"/>
    <w:rsid w:val="00865F1B"/>
    <w:rsid w:val="00866D3F"/>
    <w:rsid w:val="008702E1"/>
    <w:rsid w:val="0087104C"/>
    <w:rsid w:val="00875CFF"/>
    <w:rsid w:val="00877169"/>
    <w:rsid w:val="00877E09"/>
    <w:rsid w:val="00881721"/>
    <w:rsid w:val="00891C66"/>
    <w:rsid w:val="008920A2"/>
    <w:rsid w:val="008924F3"/>
    <w:rsid w:val="00896285"/>
    <w:rsid w:val="00896B5B"/>
    <w:rsid w:val="008A33A5"/>
    <w:rsid w:val="008A39E2"/>
    <w:rsid w:val="008A3B65"/>
    <w:rsid w:val="008A7AAF"/>
    <w:rsid w:val="008B1398"/>
    <w:rsid w:val="008B3D4F"/>
    <w:rsid w:val="008B426E"/>
    <w:rsid w:val="008B594C"/>
    <w:rsid w:val="008C1C84"/>
    <w:rsid w:val="008C3E6B"/>
    <w:rsid w:val="008D3881"/>
    <w:rsid w:val="008D5EB8"/>
    <w:rsid w:val="008D6E7D"/>
    <w:rsid w:val="008E0629"/>
    <w:rsid w:val="008E2366"/>
    <w:rsid w:val="008E6B91"/>
    <w:rsid w:val="008E6DD6"/>
    <w:rsid w:val="008F0615"/>
    <w:rsid w:val="008F3300"/>
    <w:rsid w:val="008F773B"/>
    <w:rsid w:val="00900B61"/>
    <w:rsid w:val="00902BC7"/>
    <w:rsid w:val="00905A8F"/>
    <w:rsid w:val="00907321"/>
    <w:rsid w:val="009074D1"/>
    <w:rsid w:val="009112CB"/>
    <w:rsid w:val="009143AA"/>
    <w:rsid w:val="00915BCD"/>
    <w:rsid w:val="00922BC2"/>
    <w:rsid w:val="00926067"/>
    <w:rsid w:val="0092694B"/>
    <w:rsid w:val="00926BBE"/>
    <w:rsid w:val="00932B50"/>
    <w:rsid w:val="009354EE"/>
    <w:rsid w:val="00936F71"/>
    <w:rsid w:val="00940AFA"/>
    <w:rsid w:val="00940DD8"/>
    <w:rsid w:val="009457BD"/>
    <w:rsid w:val="009471D7"/>
    <w:rsid w:val="00952843"/>
    <w:rsid w:val="00964A02"/>
    <w:rsid w:val="009651F6"/>
    <w:rsid w:val="009654BE"/>
    <w:rsid w:val="00971398"/>
    <w:rsid w:val="009713ED"/>
    <w:rsid w:val="0097144D"/>
    <w:rsid w:val="00971FA4"/>
    <w:rsid w:val="00972692"/>
    <w:rsid w:val="00973F37"/>
    <w:rsid w:val="00976939"/>
    <w:rsid w:val="00976C8F"/>
    <w:rsid w:val="0097780E"/>
    <w:rsid w:val="00977961"/>
    <w:rsid w:val="00985927"/>
    <w:rsid w:val="009926E6"/>
    <w:rsid w:val="00993DB8"/>
    <w:rsid w:val="00996E69"/>
    <w:rsid w:val="009A259C"/>
    <w:rsid w:val="009A2872"/>
    <w:rsid w:val="009A4193"/>
    <w:rsid w:val="009A6D61"/>
    <w:rsid w:val="009B2AE4"/>
    <w:rsid w:val="009C111C"/>
    <w:rsid w:val="009C2AC5"/>
    <w:rsid w:val="009C6C96"/>
    <w:rsid w:val="009D3FDD"/>
    <w:rsid w:val="009E1463"/>
    <w:rsid w:val="009E2A68"/>
    <w:rsid w:val="009E34C0"/>
    <w:rsid w:val="009E7380"/>
    <w:rsid w:val="009F039C"/>
    <w:rsid w:val="009F0E5F"/>
    <w:rsid w:val="009F167F"/>
    <w:rsid w:val="00A0074B"/>
    <w:rsid w:val="00A00A6E"/>
    <w:rsid w:val="00A03664"/>
    <w:rsid w:val="00A1182A"/>
    <w:rsid w:val="00A126C9"/>
    <w:rsid w:val="00A1428D"/>
    <w:rsid w:val="00A152CC"/>
    <w:rsid w:val="00A17CEF"/>
    <w:rsid w:val="00A2016A"/>
    <w:rsid w:val="00A260B9"/>
    <w:rsid w:val="00A305A4"/>
    <w:rsid w:val="00A3247D"/>
    <w:rsid w:val="00A37449"/>
    <w:rsid w:val="00A37560"/>
    <w:rsid w:val="00A41FF4"/>
    <w:rsid w:val="00A44F8F"/>
    <w:rsid w:val="00A462C6"/>
    <w:rsid w:val="00A51020"/>
    <w:rsid w:val="00A52A3B"/>
    <w:rsid w:val="00A54DD1"/>
    <w:rsid w:val="00A5522D"/>
    <w:rsid w:val="00A55A9E"/>
    <w:rsid w:val="00A60000"/>
    <w:rsid w:val="00A624B5"/>
    <w:rsid w:val="00A66CBD"/>
    <w:rsid w:val="00A67B73"/>
    <w:rsid w:val="00A73375"/>
    <w:rsid w:val="00A77E36"/>
    <w:rsid w:val="00A80261"/>
    <w:rsid w:val="00A8176B"/>
    <w:rsid w:val="00A92639"/>
    <w:rsid w:val="00A9497E"/>
    <w:rsid w:val="00A97A46"/>
    <w:rsid w:val="00AB641C"/>
    <w:rsid w:val="00AC0553"/>
    <w:rsid w:val="00AC4237"/>
    <w:rsid w:val="00AC6108"/>
    <w:rsid w:val="00AD0DF0"/>
    <w:rsid w:val="00AD6593"/>
    <w:rsid w:val="00AD69CC"/>
    <w:rsid w:val="00AE1D32"/>
    <w:rsid w:val="00AE1E7A"/>
    <w:rsid w:val="00AE4FD0"/>
    <w:rsid w:val="00AE5D2D"/>
    <w:rsid w:val="00AF6008"/>
    <w:rsid w:val="00B004C4"/>
    <w:rsid w:val="00B1089E"/>
    <w:rsid w:val="00B12632"/>
    <w:rsid w:val="00B1566E"/>
    <w:rsid w:val="00B21DCC"/>
    <w:rsid w:val="00B221A7"/>
    <w:rsid w:val="00B25D4C"/>
    <w:rsid w:val="00B36EDD"/>
    <w:rsid w:val="00B40520"/>
    <w:rsid w:val="00B4773A"/>
    <w:rsid w:val="00B53DB2"/>
    <w:rsid w:val="00B54954"/>
    <w:rsid w:val="00B56612"/>
    <w:rsid w:val="00B62412"/>
    <w:rsid w:val="00B63A8A"/>
    <w:rsid w:val="00B66DDA"/>
    <w:rsid w:val="00B66EB3"/>
    <w:rsid w:val="00B719CA"/>
    <w:rsid w:val="00B77433"/>
    <w:rsid w:val="00B77CA4"/>
    <w:rsid w:val="00B8089D"/>
    <w:rsid w:val="00B80BC7"/>
    <w:rsid w:val="00B828B0"/>
    <w:rsid w:val="00B861DC"/>
    <w:rsid w:val="00B912A3"/>
    <w:rsid w:val="00B92F8D"/>
    <w:rsid w:val="00B96E31"/>
    <w:rsid w:val="00BA08A9"/>
    <w:rsid w:val="00BA417B"/>
    <w:rsid w:val="00BA6D33"/>
    <w:rsid w:val="00BA7D4A"/>
    <w:rsid w:val="00BB1238"/>
    <w:rsid w:val="00BB5FDB"/>
    <w:rsid w:val="00BC4A83"/>
    <w:rsid w:val="00BC5060"/>
    <w:rsid w:val="00BC796E"/>
    <w:rsid w:val="00BD3FD1"/>
    <w:rsid w:val="00BE0FF1"/>
    <w:rsid w:val="00BE302D"/>
    <w:rsid w:val="00BE4E64"/>
    <w:rsid w:val="00BE5986"/>
    <w:rsid w:val="00BE7F01"/>
    <w:rsid w:val="00BF2A68"/>
    <w:rsid w:val="00C163CC"/>
    <w:rsid w:val="00C20A03"/>
    <w:rsid w:val="00C25136"/>
    <w:rsid w:val="00C30631"/>
    <w:rsid w:val="00C3494C"/>
    <w:rsid w:val="00C34C88"/>
    <w:rsid w:val="00C409FD"/>
    <w:rsid w:val="00C44EC5"/>
    <w:rsid w:val="00C527CD"/>
    <w:rsid w:val="00C52BD3"/>
    <w:rsid w:val="00C52C55"/>
    <w:rsid w:val="00C53976"/>
    <w:rsid w:val="00C55C98"/>
    <w:rsid w:val="00C55F53"/>
    <w:rsid w:val="00C575A7"/>
    <w:rsid w:val="00C65E6E"/>
    <w:rsid w:val="00C711FA"/>
    <w:rsid w:val="00C75EF8"/>
    <w:rsid w:val="00C80233"/>
    <w:rsid w:val="00C83C86"/>
    <w:rsid w:val="00C86B93"/>
    <w:rsid w:val="00C93F5E"/>
    <w:rsid w:val="00C95CE5"/>
    <w:rsid w:val="00C962EE"/>
    <w:rsid w:val="00C97074"/>
    <w:rsid w:val="00CA0242"/>
    <w:rsid w:val="00CA0CF0"/>
    <w:rsid w:val="00CA3FBC"/>
    <w:rsid w:val="00CA51DA"/>
    <w:rsid w:val="00CA721A"/>
    <w:rsid w:val="00CB5095"/>
    <w:rsid w:val="00CB523E"/>
    <w:rsid w:val="00CB6400"/>
    <w:rsid w:val="00CC0A46"/>
    <w:rsid w:val="00CC223A"/>
    <w:rsid w:val="00CC2F59"/>
    <w:rsid w:val="00CD1E52"/>
    <w:rsid w:val="00CD20E6"/>
    <w:rsid w:val="00CE0B89"/>
    <w:rsid w:val="00CF36D3"/>
    <w:rsid w:val="00CF4BF2"/>
    <w:rsid w:val="00CF5959"/>
    <w:rsid w:val="00D00EF5"/>
    <w:rsid w:val="00D01498"/>
    <w:rsid w:val="00D04250"/>
    <w:rsid w:val="00D076F2"/>
    <w:rsid w:val="00D14634"/>
    <w:rsid w:val="00D2291D"/>
    <w:rsid w:val="00D2508E"/>
    <w:rsid w:val="00D25FD8"/>
    <w:rsid w:val="00D36E77"/>
    <w:rsid w:val="00D43CE8"/>
    <w:rsid w:val="00D52280"/>
    <w:rsid w:val="00D70C69"/>
    <w:rsid w:val="00D71DCD"/>
    <w:rsid w:val="00D85380"/>
    <w:rsid w:val="00D856CE"/>
    <w:rsid w:val="00DA2E93"/>
    <w:rsid w:val="00DA35F9"/>
    <w:rsid w:val="00DA4C4A"/>
    <w:rsid w:val="00DA4DBC"/>
    <w:rsid w:val="00DB3165"/>
    <w:rsid w:val="00DB373A"/>
    <w:rsid w:val="00DB46C1"/>
    <w:rsid w:val="00DB5AD2"/>
    <w:rsid w:val="00DC0021"/>
    <w:rsid w:val="00DC1DAE"/>
    <w:rsid w:val="00DC1E04"/>
    <w:rsid w:val="00DC2320"/>
    <w:rsid w:val="00DC462C"/>
    <w:rsid w:val="00DD19DD"/>
    <w:rsid w:val="00DD2C46"/>
    <w:rsid w:val="00DD2DA0"/>
    <w:rsid w:val="00DD323E"/>
    <w:rsid w:val="00DD46B6"/>
    <w:rsid w:val="00DD69CE"/>
    <w:rsid w:val="00DD70A5"/>
    <w:rsid w:val="00DE41A8"/>
    <w:rsid w:val="00DE50F9"/>
    <w:rsid w:val="00DF1860"/>
    <w:rsid w:val="00DF65C5"/>
    <w:rsid w:val="00DF6B7F"/>
    <w:rsid w:val="00E00BF6"/>
    <w:rsid w:val="00E00DB8"/>
    <w:rsid w:val="00E02403"/>
    <w:rsid w:val="00E124CD"/>
    <w:rsid w:val="00E15144"/>
    <w:rsid w:val="00E1637C"/>
    <w:rsid w:val="00E17D66"/>
    <w:rsid w:val="00E20201"/>
    <w:rsid w:val="00E302A8"/>
    <w:rsid w:val="00E3537D"/>
    <w:rsid w:val="00E35F99"/>
    <w:rsid w:val="00E401CA"/>
    <w:rsid w:val="00E53ED8"/>
    <w:rsid w:val="00E642EE"/>
    <w:rsid w:val="00E64318"/>
    <w:rsid w:val="00E64D3B"/>
    <w:rsid w:val="00E65250"/>
    <w:rsid w:val="00E71CE5"/>
    <w:rsid w:val="00E873FD"/>
    <w:rsid w:val="00E87BEF"/>
    <w:rsid w:val="00E91CD4"/>
    <w:rsid w:val="00E9729C"/>
    <w:rsid w:val="00EB0685"/>
    <w:rsid w:val="00EB43DB"/>
    <w:rsid w:val="00EC122D"/>
    <w:rsid w:val="00EC2F8F"/>
    <w:rsid w:val="00ED2C0E"/>
    <w:rsid w:val="00ED6BB0"/>
    <w:rsid w:val="00ED7F63"/>
    <w:rsid w:val="00EE07D7"/>
    <w:rsid w:val="00EE391F"/>
    <w:rsid w:val="00EE74D8"/>
    <w:rsid w:val="00EF0E8D"/>
    <w:rsid w:val="00EF2114"/>
    <w:rsid w:val="00EF569E"/>
    <w:rsid w:val="00EF5C3F"/>
    <w:rsid w:val="00F07512"/>
    <w:rsid w:val="00F11AC6"/>
    <w:rsid w:val="00F12DFB"/>
    <w:rsid w:val="00F25618"/>
    <w:rsid w:val="00F26F6F"/>
    <w:rsid w:val="00F32B7D"/>
    <w:rsid w:val="00F416D4"/>
    <w:rsid w:val="00F43A91"/>
    <w:rsid w:val="00F47B2D"/>
    <w:rsid w:val="00F51D27"/>
    <w:rsid w:val="00F608ED"/>
    <w:rsid w:val="00F6333A"/>
    <w:rsid w:val="00F64B03"/>
    <w:rsid w:val="00F64F9E"/>
    <w:rsid w:val="00F6790C"/>
    <w:rsid w:val="00F76CB4"/>
    <w:rsid w:val="00F80CD5"/>
    <w:rsid w:val="00F814AF"/>
    <w:rsid w:val="00F82506"/>
    <w:rsid w:val="00F8462C"/>
    <w:rsid w:val="00F84DE7"/>
    <w:rsid w:val="00F87E61"/>
    <w:rsid w:val="00F93A7F"/>
    <w:rsid w:val="00FA08A9"/>
    <w:rsid w:val="00FA1B94"/>
    <w:rsid w:val="00FA2370"/>
    <w:rsid w:val="00FA3433"/>
    <w:rsid w:val="00FB1F1A"/>
    <w:rsid w:val="00FB29BF"/>
    <w:rsid w:val="00FB2C93"/>
    <w:rsid w:val="00FB3BB2"/>
    <w:rsid w:val="00FB457B"/>
    <w:rsid w:val="00FB5266"/>
    <w:rsid w:val="00FC0C9A"/>
    <w:rsid w:val="00FC23E8"/>
    <w:rsid w:val="00FC3A57"/>
    <w:rsid w:val="00FC44A9"/>
    <w:rsid w:val="00FC5CE5"/>
    <w:rsid w:val="00FD17FF"/>
    <w:rsid w:val="00FD27F2"/>
    <w:rsid w:val="00FD38B9"/>
    <w:rsid w:val="00FD6E01"/>
    <w:rsid w:val="00FE0979"/>
    <w:rsid w:val="00FE665B"/>
    <w:rsid w:val="00FF0E2F"/>
    <w:rsid w:val="00FF1E00"/>
    <w:rsid w:val="00FF3F4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87104C"/>
    <w:pPr>
      <w:tabs>
        <w:tab w:val="center" w:pos="4680"/>
        <w:tab w:val="right" w:pos="9360"/>
      </w:tabs>
      <w:spacing w:after="0" w:line="240" w:lineRule="auto"/>
    </w:pPr>
  </w:style>
  <w:style w:type="character" w:customStyle="1" w:styleId="HeaderChar">
    <w:name w:val="Header Char"/>
    <w:basedOn w:val="DefaultParagraphFont"/>
    <w:link w:val="Header"/>
    <w:uiPriority w:val="99"/>
    <w:semiHidden/>
    <w:rsid w:val="0087104C"/>
  </w:style>
  <w:style w:type="paragraph" w:styleId="Footer">
    <w:name w:val="footer"/>
    <w:basedOn w:val="Normal"/>
    <w:link w:val="FooterChar"/>
    <w:uiPriority w:val="99"/>
    <w:unhideWhenUsed/>
    <w:rsid w:val="0087104C"/>
    <w:pPr>
      <w:tabs>
        <w:tab w:val="center" w:pos="4680"/>
        <w:tab w:val="right" w:pos="9360"/>
      </w:tabs>
      <w:spacing w:after="0" w:line="240" w:lineRule="auto"/>
    </w:pPr>
  </w:style>
  <w:style w:type="character" w:customStyle="1" w:styleId="FooterChar">
    <w:name w:val="Footer Char"/>
    <w:basedOn w:val="DefaultParagraphFont"/>
    <w:link w:val="Footer"/>
    <w:uiPriority w:val="99"/>
    <w:rsid w:val="0087104C"/>
  </w:style>
  <w:style w:type="paragraph" w:styleId="BalloonText">
    <w:name w:val="Balloon Text"/>
    <w:basedOn w:val="Normal"/>
    <w:link w:val="BalloonTextChar"/>
    <w:uiPriority w:val="99"/>
    <w:semiHidden/>
    <w:unhideWhenUsed/>
    <w:rsid w:val="0087104C"/>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87104C"/>
    <w:rPr>
      <w:rFonts w:ascii="Tahoma" w:hAnsi="Tahoma" w:cs="Tahoma"/>
      <w:sz w:val="16"/>
      <w:szCs w:val="16"/>
    </w:rPr>
  </w:style>
  <w:style w:type="character" w:styleId="Hyperlink">
    <w:name w:val="Hyperlink"/>
    <w:basedOn w:val="DefaultParagraphFont"/>
    <w:uiPriority w:val="99"/>
    <w:unhideWhenUsed/>
    <w:rsid w:val="00DB46C1"/>
    <w:rPr>
      <w:color w:val="0000FF" w:themeColor="hyperlink"/>
      <w:u w:val="single"/>
    </w:rPr>
  </w:style>
  <w:style w:type="table" w:styleId="TableGrid">
    <w:name w:val="Table Grid"/>
    <w:basedOn w:val="TableNormal"/>
    <w:uiPriority w:val="59"/>
    <w:rsid w:val="00B80BC7"/>
    <w:pPr>
      <w:spacing w:before="100" w:after="100" w:line="240" w:lineRule="auto"/>
    </w:pPr>
    <w:rPr>
      <w:rFonts w:ascii="Times New Roman" w:eastAsia="Times New Roman" w:hAnsi="Times New Roman"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12TableTitle">
    <w:name w:val="12. Table Title"/>
    <w:basedOn w:val="ListParagraph"/>
    <w:link w:val="12TableTitleChar"/>
    <w:qFormat/>
    <w:rsid w:val="00B80BC7"/>
    <w:pPr>
      <w:spacing w:after="0" w:line="240" w:lineRule="auto"/>
      <w:ind w:left="0"/>
      <w:contextualSpacing w:val="0"/>
      <w:jc w:val="center"/>
    </w:pPr>
    <w:rPr>
      <w:rFonts w:ascii="Calibri" w:eastAsia="Times New Roman" w:hAnsi="Calibri" w:cs="Calibri"/>
      <w:b/>
    </w:rPr>
  </w:style>
  <w:style w:type="paragraph" w:styleId="ListParagraph">
    <w:name w:val="List Paragraph"/>
    <w:basedOn w:val="Normal"/>
    <w:uiPriority w:val="34"/>
    <w:qFormat/>
    <w:rsid w:val="00B80BC7"/>
    <w:pPr>
      <w:ind w:left="720"/>
      <w:contextualSpacing/>
    </w:pPr>
  </w:style>
  <w:style w:type="character" w:customStyle="1" w:styleId="12TableTitleChar">
    <w:name w:val="12. Table Title Char"/>
    <w:basedOn w:val="DefaultParagraphFont"/>
    <w:link w:val="12TableTitle"/>
    <w:rsid w:val="00B80BC7"/>
    <w:rPr>
      <w:rFonts w:ascii="Calibri" w:eastAsia="Times New Roman" w:hAnsi="Calibri" w:cs="Calibri"/>
      <w:b/>
    </w:rPr>
  </w:style>
  <w:style w:type="paragraph" w:customStyle="1" w:styleId="13TableText">
    <w:name w:val="13. Table Text"/>
    <w:basedOn w:val="ListParagraph"/>
    <w:link w:val="13TableTextChar"/>
    <w:qFormat/>
    <w:rsid w:val="00B80BC7"/>
    <w:pPr>
      <w:spacing w:after="0" w:line="240" w:lineRule="auto"/>
      <w:ind w:left="0"/>
      <w:contextualSpacing w:val="0"/>
    </w:pPr>
    <w:rPr>
      <w:rFonts w:ascii="Calibri" w:eastAsia="Times New Roman" w:hAnsi="Calibri" w:cs="Calibri"/>
    </w:rPr>
  </w:style>
  <w:style w:type="character" w:customStyle="1" w:styleId="13TableTextChar">
    <w:name w:val="13. Table Text Char"/>
    <w:basedOn w:val="DefaultParagraphFont"/>
    <w:link w:val="13TableText"/>
    <w:rsid w:val="00B80BC7"/>
    <w:rPr>
      <w:rFonts w:ascii="Calibri" w:eastAsia="Times New Roman" w:hAnsi="Calibri" w:cs="Calibri"/>
    </w:rPr>
  </w:style>
  <w:style w:type="paragraph" w:customStyle="1" w:styleId="11TableHeader">
    <w:name w:val="11. Table Header"/>
    <w:basedOn w:val="ListParagraph"/>
    <w:link w:val="11TableHeaderChar"/>
    <w:qFormat/>
    <w:rsid w:val="00DC462C"/>
    <w:pPr>
      <w:spacing w:after="0" w:line="240" w:lineRule="auto"/>
      <w:ind w:left="0"/>
      <w:contextualSpacing w:val="0"/>
    </w:pPr>
    <w:rPr>
      <w:rFonts w:ascii="Calibri" w:eastAsia="Times New Roman" w:hAnsi="Calibri" w:cs="Calibri"/>
      <w:b/>
      <w:color w:val="FFFFFF" w:themeColor="background1"/>
    </w:rPr>
  </w:style>
  <w:style w:type="character" w:customStyle="1" w:styleId="11TableHeaderChar">
    <w:name w:val="11. Table Header Char"/>
    <w:basedOn w:val="DefaultParagraphFont"/>
    <w:link w:val="11TableHeader"/>
    <w:rsid w:val="00DC462C"/>
    <w:rPr>
      <w:rFonts w:ascii="Calibri" w:eastAsia="Times New Roman" w:hAnsi="Calibri" w:cs="Calibri"/>
      <w:b/>
      <w:color w:val="FFFFFF" w:themeColor="background1"/>
    </w:rPr>
  </w:style>
  <w:style w:type="table" w:customStyle="1" w:styleId="MediumShading1-Accent11">
    <w:name w:val="Medium Shading 1 - Accent 11"/>
    <w:basedOn w:val="TableNormal"/>
    <w:uiPriority w:val="63"/>
    <w:rsid w:val="004947FF"/>
    <w:pPr>
      <w:spacing w:after="0" w:line="240" w:lineRule="auto"/>
    </w:pPr>
    <w:tblPr>
      <w:tblStyleRowBandSize w:val="1"/>
      <w:tblStyleColBandSize w:val="1"/>
      <w:tblInd w:w="0" w:type="dxa"/>
      <w:tblBorders>
        <w:top w:val="single" w:sz="4" w:space="0" w:color="548DD4" w:themeColor="text2" w:themeTint="99"/>
        <w:left w:val="single" w:sz="4" w:space="0" w:color="548DD4" w:themeColor="text2" w:themeTint="99"/>
        <w:bottom w:val="single" w:sz="4" w:space="0" w:color="548DD4" w:themeColor="text2" w:themeTint="99"/>
        <w:right w:val="single" w:sz="4" w:space="0" w:color="548DD4" w:themeColor="text2" w:themeTint="99"/>
        <w:insideH w:val="single" w:sz="6" w:space="0" w:color="548DD4" w:themeColor="text2" w:themeTint="99"/>
        <w:insideV w:val="single" w:sz="6" w:space="0" w:color="548DD4" w:themeColor="text2" w:themeTint="99"/>
      </w:tblBorders>
      <w:tblCellMar>
        <w:top w:w="0" w:type="dxa"/>
        <w:left w:w="108" w:type="dxa"/>
        <w:bottom w:w="0" w:type="dxa"/>
        <w:right w:w="108" w:type="dxa"/>
      </w:tblCellMar>
    </w:tblPr>
    <w:trPr>
      <w:tblHeader/>
    </w:trPr>
    <w:tblStylePr w:type="firstRow">
      <w:pPr>
        <w:spacing w:before="0" w:after="0" w:line="240" w:lineRule="auto"/>
        <w:jc w:val="left"/>
      </w:pPr>
      <w:rPr>
        <w:rFonts w:asciiTheme="minorHAnsi" w:hAnsiTheme="minorHAnsi"/>
        <w:b/>
        <w:bCs/>
        <w:color w:val="FFFFFF" w:themeColor="background1"/>
        <w:sz w:val="22"/>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rFonts w:asciiTheme="minorHAnsi" w:hAnsiTheme="minorHAnsi"/>
        <w:b w:val="0"/>
        <w:bCs/>
        <w:sz w:val="18"/>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pPr>
        <w:jc w:val="center"/>
      </w:pPr>
      <w:rPr>
        <w:rFonts w:asciiTheme="minorHAnsi" w:hAnsiTheme="minorHAnsi"/>
        <w:b w:val="0"/>
        <w:bCs/>
        <w:sz w:val="18"/>
      </w:rPr>
      <w:tblPr/>
      <w:tcPr>
        <w:tcBorders>
          <w:top w:val="single" w:sz="4" w:space="0" w:color="548DD4" w:themeColor="text2" w:themeTint="99"/>
          <w:left w:val="single" w:sz="4" w:space="0" w:color="548DD4" w:themeColor="text2" w:themeTint="99"/>
          <w:bottom w:val="single" w:sz="4" w:space="0" w:color="548DD4" w:themeColor="text2" w:themeTint="99"/>
          <w:right w:val="single" w:sz="4" w:space="0" w:color="548DD4" w:themeColor="text2" w:themeTint="99"/>
          <w:insideH w:val="single" w:sz="4" w:space="0" w:color="548DD4" w:themeColor="text2" w:themeTint="99"/>
          <w:insideV w:val="single" w:sz="4" w:space="0" w:color="548DD4" w:themeColor="text2" w:themeTint="99"/>
        </w:tcBorders>
        <w:vAlign w:val="center"/>
      </w:tcPr>
    </w:tblStylePr>
    <w:tblStylePr w:type="lastCol">
      <w:rPr>
        <w:rFonts w:asciiTheme="minorHAnsi" w:hAnsiTheme="minorHAnsi"/>
        <w:b w:val="0"/>
        <w:bCs/>
        <w:sz w:val="18"/>
      </w:rPr>
      <w:tblPr/>
      <w:tcPr>
        <w:tcBorders>
          <w:top w:val="single" w:sz="4" w:space="0" w:color="548DD4" w:themeColor="text2" w:themeTint="99"/>
          <w:left w:val="single" w:sz="4" w:space="0" w:color="548DD4" w:themeColor="text2" w:themeTint="99"/>
          <w:bottom w:val="single" w:sz="4" w:space="0" w:color="548DD4" w:themeColor="text2" w:themeTint="99"/>
          <w:right w:val="single" w:sz="4" w:space="0" w:color="548DD4" w:themeColor="text2" w:themeTint="99"/>
          <w:insideH w:val="single" w:sz="4" w:space="0" w:color="548DD4" w:themeColor="text2" w:themeTint="99"/>
          <w:insideV w:val="single" w:sz="4" w:space="0" w:color="548DD4" w:themeColor="text2" w:themeTint="99"/>
        </w:tcBorders>
      </w:tcPr>
    </w:tblStylePr>
    <w:tblStylePr w:type="band1Vert">
      <w:tblPr/>
      <w:tcPr>
        <w:tcBorders>
          <w:top w:val="single" w:sz="4" w:space="0" w:color="548DD4" w:themeColor="text2" w:themeTint="99"/>
          <w:left w:val="single" w:sz="4" w:space="0" w:color="548DD4" w:themeColor="text2" w:themeTint="99"/>
          <w:bottom w:val="single" w:sz="4" w:space="0" w:color="548DD4" w:themeColor="text2" w:themeTint="99"/>
          <w:right w:val="single" w:sz="4" w:space="0" w:color="548DD4" w:themeColor="text2" w:themeTint="99"/>
          <w:insideH w:val="single" w:sz="4" w:space="0" w:color="548DD4" w:themeColor="text2" w:themeTint="99"/>
          <w:insideV w:val="single" w:sz="4" w:space="0" w:color="548DD4" w:themeColor="text2" w:themeTint="99"/>
        </w:tcBorders>
      </w:tcPr>
    </w:tblStylePr>
    <w:tblStylePr w:type="band1Horz">
      <w:pPr>
        <w:jc w:val="left"/>
      </w:pPr>
      <w:tblPr/>
      <w:tcPr>
        <w:tcBorders>
          <w:top w:val="single" w:sz="4" w:space="0" w:color="548DD4" w:themeColor="text2" w:themeTint="99"/>
          <w:left w:val="single" w:sz="4" w:space="0" w:color="548DD4" w:themeColor="text2" w:themeTint="99"/>
          <w:bottom w:val="single" w:sz="4" w:space="0" w:color="548DD4" w:themeColor="text2" w:themeTint="99"/>
          <w:right w:val="single" w:sz="4" w:space="0" w:color="548DD4" w:themeColor="text2" w:themeTint="99"/>
          <w:insideH w:val="single" w:sz="4" w:space="0" w:color="548DD4" w:themeColor="text2" w:themeTint="99"/>
          <w:insideV w:val="single" w:sz="4" w:space="0" w:color="548DD4" w:themeColor="text2" w:themeTint="99"/>
        </w:tcBorders>
        <w:shd w:val="clear" w:color="auto" w:fill="D3DFEE" w:themeFill="accent1" w:themeFillTint="3F"/>
        <w:vAlign w:val="center"/>
      </w:tcPr>
    </w:tblStylePr>
    <w:tblStylePr w:type="band2Horz">
      <w:tblPr/>
      <w:tcPr>
        <w:tcBorders>
          <w:top w:val="single" w:sz="4" w:space="0" w:color="548DD4" w:themeColor="text2" w:themeTint="99"/>
          <w:left w:val="single" w:sz="4" w:space="0" w:color="548DD4" w:themeColor="text2" w:themeTint="99"/>
          <w:bottom w:val="single" w:sz="4" w:space="0" w:color="548DD4" w:themeColor="text2" w:themeTint="99"/>
          <w:right w:val="single" w:sz="4" w:space="0" w:color="548DD4" w:themeColor="text2" w:themeTint="99"/>
          <w:insideH w:val="single" w:sz="4" w:space="0" w:color="548DD4" w:themeColor="text2" w:themeTint="99"/>
          <w:insideV w:val="single" w:sz="4" w:space="0" w:color="548DD4" w:themeColor="text2" w:themeTint="99"/>
        </w:tcBorders>
      </w:tcPr>
    </w:tblStylePr>
  </w:style>
  <w:style w:type="table" w:styleId="MediumShading1-Accent1">
    <w:name w:val="Medium Shading 1 Accent 1"/>
    <w:basedOn w:val="TableNormal"/>
    <w:uiPriority w:val="63"/>
    <w:rsid w:val="00C52C55"/>
    <w:pPr>
      <w:spacing w:after="0" w:line="240" w:lineRule="auto"/>
    </w:pPr>
    <w:tblPr>
      <w:tblStyleRowBandSize w:val="1"/>
      <w:tblStyleColBandSize w:val="1"/>
      <w:tblInd w:w="0" w:type="dxa"/>
      <w:tblBorders>
        <w:top w:val="single" w:sz="4" w:space="0" w:color="548DD4" w:themeColor="text2" w:themeTint="99"/>
        <w:left w:val="single" w:sz="4" w:space="0" w:color="548DD4" w:themeColor="text2" w:themeTint="99"/>
        <w:bottom w:val="single" w:sz="4" w:space="0" w:color="548DD4" w:themeColor="text2" w:themeTint="99"/>
        <w:right w:val="single" w:sz="4" w:space="0" w:color="548DD4" w:themeColor="text2" w:themeTint="99"/>
        <w:insideH w:val="single" w:sz="4" w:space="0" w:color="548DD4" w:themeColor="text2" w:themeTint="99"/>
        <w:insideV w:val="single" w:sz="4" w:space="0" w:color="548DD4" w:themeColor="text2" w:themeTint="99"/>
      </w:tblBorders>
      <w:tblCellMar>
        <w:top w:w="0" w:type="dxa"/>
        <w:left w:w="108" w:type="dxa"/>
        <w:bottom w:w="0" w:type="dxa"/>
        <w:right w:w="108" w:type="dxa"/>
      </w:tblCellMar>
    </w:tblPr>
    <w:tblStylePr w:type="firstRow">
      <w:pPr>
        <w:spacing w:before="0" w:after="0" w:line="240" w:lineRule="auto"/>
        <w:jc w:val="left"/>
      </w:pPr>
      <w:rPr>
        <w:rFonts w:asciiTheme="minorHAnsi" w:hAnsiTheme="minorHAnsi"/>
        <w:b/>
        <w:bCs/>
        <w:color w:val="FFFFFF" w:themeColor="background1"/>
        <w:sz w:val="22"/>
      </w:rPr>
      <w:tblPr/>
      <w:tcPr>
        <w:tcBorders>
          <w:top w:val="single" w:sz="4" w:space="0" w:color="548DD4" w:themeColor="text2" w:themeTint="99"/>
          <w:left w:val="single" w:sz="4" w:space="0" w:color="548DD4" w:themeColor="text2" w:themeTint="99"/>
          <w:bottom w:val="single" w:sz="4" w:space="0" w:color="548DD4" w:themeColor="text2" w:themeTint="99"/>
          <w:right w:val="single" w:sz="4" w:space="0" w:color="548DD4" w:themeColor="text2" w:themeTint="99"/>
          <w:insideH w:val="single" w:sz="4" w:space="0" w:color="548DD4" w:themeColor="text2" w:themeTint="99"/>
          <w:insideV w:val="single" w:sz="4" w:space="0" w:color="548DD4" w:themeColor="text2" w:themeTint="99"/>
        </w:tcBorders>
        <w:shd w:val="clear" w:color="auto" w:fill="4F81BD" w:themeFill="accent1"/>
        <w:vAlign w:val="center"/>
      </w:tcPr>
    </w:tblStylePr>
    <w:tblStylePr w:type="lastRow">
      <w:pPr>
        <w:spacing w:before="0" w:after="0" w:line="240" w:lineRule="auto"/>
      </w:pPr>
      <w:rPr>
        <w:rFonts w:asciiTheme="minorHAnsi" w:hAnsiTheme="minorHAnsi"/>
        <w:b w:val="0"/>
        <w:bCs/>
        <w:sz w:val="18"/>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pPr>
        <w:jc w:val="center"/>
      </w:pPr>
      <w:rPr>
        <w:rFonts w:asciiTheme="minorHAnsi" w:hAnsiTheme="minorHAnsi"/>
        <w:b w:val="0"/>
        <w:bCs/>
        <w:sz w:val="18"/>
      </w:rPr>
      <w:tblPr/>
      <w:tcPr>
        <w:tcBorders>
          <w:top w:val="single" w:sz="4" w:space="0" w:color="548DD4" w:themeColor="text2" w:themeTint="99"/>
          <w:left w:val="single" w:sz="4" w:space="0" w:color="548DD4" w:themeColor="text2" w:themeTint="99"/>
          <w:bottom w:val="single" w:sz="4" w:space="0" w:color="548DD4" w:themeColor="text2" w:themeTint="99"/>
          <w:right w:val="single" w:sz="4" w:space="0" w:color="548DD4" w:themeColor="text2" w:themeTint="99"/>
          <w:insideH w:val="single" w:sz="4" w:space="0" w:color="548DD4" w:themeColor="text2" w:themeTint="99"/>
          <w:insideV w:val="single" w:sz="4" w:space="0" w:color="548DD4" w:themeColor="text2" w:themeTint="99"/>
        </w:tcBorders>
        <w:vAlign w:val="center"/>
      </w:tcPr>
    </w:tblStylePr>
    <w:tblStylePr w:type="lastCol">
      <w:rPr>
        <w:rFonts w:asciiTheme="minorHAnsi" w:hAnsiTheme="minorHAnsi"/>
        <w:b w:val="0"/>
        <w:bCs/>
        <w:sz w:val="18"/>
      </w:rPr>
      <w:tblPr/>
      <w:tcPr>
        <w:tcBorders>
          <w:top w:val="single" w:sz="4" w:space="0" w:color="548DD4" w:themeColor="text2" w:themeTint="99"/>
          <w:left w:val="single" w:sz="4" w:space="0" w:color="548DD4" w:themeColor="text2" w:themeTint="99"/>
          <w:bottom w:val="single" w:sz="4" w:space="0" w:color="548DD4" w:themeColor="text2" w:themeTint="99"/>
          <w:right w:val="single" w:sz="4" w:space="0" w:color="548DD4" w:themeColor="text2" w:themeTint="99"/>
          <w:insideH w:val="single" w:sz="4" w:space="0" w:color="548DD4" w:themeColor="text2" w:themeTint="99"/>
          <w:insideV w:val="single" w:sz="4" w:space="0" w:color="548DD4" w:themeColor="text2" w:themeTint="99"/>
        </w:tcBorders>
      </w:tcPr>
    </w:tblStylePr>
    <w:tblStylePr w:type="band1Vert">
      <w:tblPr/>
      <w:tcPr>
        <w:shd w:val="clear" w:color="auto" w:fill="D3DFEE" w:themeFill="accent1" w:themeFillTint="3F"/>
      </w:tcPr>
    </w:tblStylePr>
    <w:tblStylePr w:type="band1Horz">
      <w:pPr>
        <w:jc w:val="left"/>
      </w:pPr>
      <w:rPr>
        <w:rFonts w:asciiTheme="minorHAnsi" w:hAnsiTheme="minorHAnsi"/>
        <w:sz w:val="18"/>
      </w:rPr>
      <w:tblPr/>
      <w:tcPr>
        <w:shd w:val="clear" w:color="auto" w:fill="FFFFFF" w:themeFill="background1"/>
      </w:tcPr>
    </w:tblStylePr>
    <w:tblStylePr w:type="band2Horz">
      <w:pPr>
        <w:jc w:val="left"/>
      </w:pPr>
      <w:rPr>
        <w:rFonts w:asciiTheme="minorHAnsi" w:hAnsiTheme="minorHAnsi"/>
        <w:sz w:val="18"/>
      </w:rPr>
      <w:tblPr/>
      <w:tcPr>
        <w:shd w:val="clear" w:color="auto" w:fill="D3DFEE"/>
      </w:tcPr>
    </w:tblStylePr>
  </w:style>
  <w:style w:type="character" w:customStyle="1" w:styleId="CommentsStyle">
    <w:name w:val="CommentsStyle"/>
    <w:rPr>
      <w:sz w:val="18"/>
    </w:rPr>
  </w:style>
  <w:style w:type="character" w:customStyle="1" w:styleId="CommentStyle">
    <w:name w:val="CommentStyle"/>
    <w:rPr>
      <w:sz w:val="1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87104C"/>
    <w:pPr>
      <w:tabs>
        <w:tab w:val="center" w:pos="4680"/>
        <w:tab w:val="right" w:pos="9360"/>
      </w:tabs>
      <w:spacing w:after="0" w:line="240" w:lineRule="auto"/>
    </w:pPr>
  </w:style>
  <w:style w:type="character" w:customStyle="1" w:styleId="HeaderChar">
    <w:name w:val="Header Char"/>
    <w:basedOn w:val="DefaultParagraphFont"/>
    <w:link w:val="Header"/>
    <w:uiPriority w:val="99"/>
    <w:semiHidden/>
    <w:rsid w:val="0087104C"/>
  </w:style>
  <w:style w:type="paragraph" w:styleId="Footer">
    <w:name w:val="footer"/>
    <w:basedOn w:val="Normal"/>
    <w:link w:val="FooterChar"/>
    <w:uiPriority w:val="99"/>
    <w:unhideWhenUsed/>
    <w:rsid w:val="0087104C"/>
    <w:pPr>
      <w:tabs>
        <w:tab w:val="center" w:pos="4680"/>
        <w:tab w:val="right" w:pos="9360"/>
      </w:tabs>
      <w:spacing w:after="0" w:line="240" w:lineRule="auto"/>
    </w:pPr>
  </w:style>
  <w:style w:type="character" w:customStyle="1" w:styleId="FooterChar">
    <w:name w:val="Footer Char"/>
    <w:basedOn w:val="DefaultParagraphFont"/>
    <w:link w:val="Footer"/>
    <w:uiPriority w:val="99"/>
    <w:rsid w:val="0087104C"/>
  </w:style>
  <w:style w:type="paragraph" w:styleId="BalloonText">
    <w:name w:val="Balloon Text"/>
    <w:basedOn w:val="Normal"/>
    <w:link w:val="BalloonTextChar"/>
    <w:uiPriority w:val="99"/>
    <w:semiHidden/>
    <w:unhideWhenUsed/>
    <w:rsid w:val="0087104C"/>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87104C"/>
    <w:rPr>
      <w:rFonts w:ascii="Tahoma" w:hAnsi="Tahoma" w:cs="Tahoma"/>
      <w:sz w:val="16"/>
      <w:szCs w:val="16"/>
    </w:rPr>
  </w:style>
  <w:style w:type="character" w:styleId="Hyperlink">
    <w:name w:val="Hyperlink"/>
    <w:basedOn w:val="DefaultParagraphFont"/>
    <w:uiPriority w:val="99"/>
    <w:unhideWhenUsed/>
    <w:rsid w:val="00DB46C1"/>
    <w:rPr>
      <w:color w:val="0000FF" w:themeColor="hyperlink"/>
      <w:u w:val="single"/>
    </w:rPr>
  </w:style>
  <w:style w:type="table" w:styleId="TableGrid">
    <w:name w:val="Table Grid"/>
    <w:basedOn w:val="TableNormal"/>
    <w:uiPriority w:val="59"/>
    <w:rsid w:val="00B80BC7"/>
    <w:pPr>
      <w:spacing w:before="100" w:after="100" w:line="240" w:lineRule="auto"/>
    </w:pPr>
    <w:rPr>
      <w:rFonts w:ascii="Times New Roman" w:eastAsia="Times New Roman" w:hAnsi="Times New Roman"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12TableTitle">
    <w:name w:val="12. Table Title"/>
    <w:basedOn w:val="ListParagraph"/>
    <w:link w:val="12TableTitleChar"/>
    <w:qFormat/>
    <w:rsid w:val="00B80BC7"/>
    <w:pPr>
      <w:spacing w:after="0" w:line="240" w:lineRule="auto"/>
      <w:ind w:left="0"/>
      <w:contextualSpacing w:val="0"/>
      <w:jc w:val="center"/>
    </w:pPr>
    <w:rPr>
      <w:rFonts w:ascii="Calibri" w:eastAsia="Times New Roman" w:hAnsi="Calibri" w:cs="Calibri"/>
      <w:b/>
    </w:rPr>
  </w:style>
  <w:style w:type="paragraph" w:styleId="ListParagraph">
    <w:name w:val="List Paragraph"/>
    <w:basedOn w:val="Normal"/>
    <w:uiPriority w:val="34"/>
    <w:qFormat/>
    <w:rsid w:val="00B80BC7"/>
    <w:pPr>
      <w:ind w:left="720"/>
      <w:contextualSpacing/>
    </w:pPr>
  </w:style>
  <w:style w:type="character" w:customStyle="1" w:styleId="12TableTitleChar">
    <w:name w:val="12. Table Title Char"/>
    <w:basedOn w:val="DefaultParagraphFont"/>
    <w:link w:val="12TableTitle"/>
    <w:rsid w:val="00B80BC7"/>
    <w:rPr>
      <w:rFonts w:ascii="Calibri" w:eastAsia="Times New Roman" w:hAnsi="Calibri" w:cs="Calibri"/>
      <w:b/>
    </w:rPr>
  </w:style>
  <w:style w:type="paragraph" w:customStyle="1" w:styleId="13TableText">
    <w:name w:val="13. Table Text"/>
    <w:basedOn w:val="ListParagraph"/>
    <w:link w:val="13TableTextChar"/>
    <w:qFormat/>
    <w:rsid w:val="00B80BC7"/>
    <w:pPr>
      <w:spacing w:after="0" w:line="240" w:lineRule="auto"/>
      <w:ind w:left="0"/>
      <w:contextualSpacing w:val="0"/>
    </w:pPr>
    <w:rPr>
      <w:rFonts w:ascii="Calibri" w:eastAsia="Times New Roman" w:hAnsi="Calibri" w:cs="Calibri"/>
    </w:rPr>
  </w:style>
  <w:style w:type="character" w:customStyle="1" w:styleId="13TableTextChar">
    <w:name w:val="13. Table Text Char"/>
    <w:basedOn w:val="DefaultParagraphFont"/>
    <w:link w:val="13TableText"/>
    <w:rsid w:val="00B80BC7"/>
    <w:rPr>
      <w:rFonts w:ascii="Calibri" w:eastAsia="Times New Roman" w:hAnsi="Calibri" w:cs="Calibri"/>
    </w:rPr>
  </w:style>
  <w:style w:type="paragraph" w:customStyle="1" w:styleId="11TableHeader">
    <w:name w:val="11. Table Header"/>
    <w:basedOn w:val="ListParagraph"/>
    <w:link w:val="11TableHeaderChar"/>
    <w:qFormat/>
    <w:rsid w:val="00DC462C"/>
    <w:pPr>
      <w:spacing w:after="0" w:line="240" w:lineRule="auto"/>
      <w:ind w:left="0"/>
      <w:contextualSpacing w:val="0"/>
    </w:pPr>
    <w:rPr>
      <w:rFonts w:ascii="Calibri" w:eastAsia="Times New Roman" w:hAnsi="Calibri" w:cs="Calibri"/>
      <w:b/>
      <w:color w:val="FFFFFF" w:themeColor="background1"/>
    </w:rPr>
  </w:style>
  <w:style w:type="character" w:customStyle="1" w:styleId="11TableHeaderChar">
    <w:name w:val="11. Table Header Char"/>
    <w:basedOn w:val="DefaultParagraphFont"/>
    <w:link w:val="11TableHeader"/>
    <w:rsid w:val="00DC462C"/>
    <w:rPr>
      <w:rFonts w:ascii="Calibri" w:eastAsia="Times New Roman" w:hAnsi="Calibri" w:cs="Calibri"/>
      <w:b/>
      <w:color w:val="FFFFFF" w:themeColor="background1"/>
    </w:rPr>
  </w:style>
  <w:style w:type="table" w:customStyle="1" w:styleId="MediumShading1-Accent11">
    <w:name w:val="Medium Shading 1 - Accent 11"/>
    <w:basedOn w:val="TableNormal"/>
    <w:uiPriority w:val="63"/>
    <w:rsid w:val="004947FF"/>
    <w:pPr>
      <w:spacing w:after="0" w:line="240" w:lineRule="auto"/>
    </w:pPr>
    <w:tblPr>
      <w:tblStyleRowBandSize w:val="1"/>
      <w:tblStyleColBandSize w:val="1"/>
      <w:tblInd w:w="0" w:type="dxa"/>
      <w:tblBorders>
        <w:top w:val="single" w:sz="4" w:space="0" w:color="548DD4" w:themeColor="text2" w:themeTint="99"/>
        <w:left w:val="single" w:sz="4" w:space="0" w:color="548DD4" w:themeColor="text2" w:themeTint="99"/>
        <w:bottom w:val="single" w:sz="4" w:space="0" w:color="548DD4" w:themeColor="text2" w:themeTint="99"/>
        <w:right w:val="single" w:sz="4" w:space="0" w:color="548DD4" w:themeColor="text2" w:themeTint="99"/>
        <w:insideH w:val="single" w:sz="6" w:space="0" w:color="548DD4" w:themeColor="text2" w:themeTint="99"/>
        <w:insideV w:val="single" w:sz="6" w:space="0" w:color="548DD4" w:themeColor="text2" w:themeTint="99"/>
      </w:tblBorders>
      <w:tblCellMar>
        <w:top w:w="0" w:type="dxa"/>
        <w:left w:w="108" w:type="dxa"/>
        <w:bottom w:w="0" w:type="dxa"/>
        <w:right w:w="108" w:type="dxa"/>
      </w:tblCellMar>
    </w:tblPr>
    <w:trPr>
      <w:tblHeader/>
    </w:trPr>
    <w:tblStylePr w:type="firstRow">
      <w:pPr>
        <w:spacing w:before="0" w:after="0" w:line="240" w:lineRule="auto"/>
        <w:jc w:val="left"/>
      </w:pPr>
      <w:rPr>
        <w:rFonts w:asciiTheme="minorHAnsi" w:hAnsiTheme="minorHAnsi"/>
        <w:b/>
        <w:bCs/>
        <w:color w:val="FFFFFF" w:themeColor="background1"/>
        <w:sz w:val="22"/>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rFonts w:asciiTheme="minorHAnsi" w:hAnsiTheme="minorHAnsi"/>
        <w:b w:val="0"/>
        <w:bCs/>
        <w:sz w:val="18"/>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pPr>
        <w:jc w:val="center"/>
      </w:pPr>
      <w:rPr>
        <w:rFonts w:asciiTheme="minorHAnsi" w:hAnsiTheme="minorHAnsi"/>
        <w:b w:val="0"/>
        <w:bCs/>
        <w:sz w:val="18"/>
      </w:rPr>
      <w:tblPr/>
      <w:tcPr>
        <w:tcBorders>
          <w:top w:val="single" w:sz="4" w:space="0" w:color="548DD4" w:themeColor="text2" w:themeTint="99"/>
          <w:left w:val="single" w:sz="4" w:space="0" w:color="548DD4" w:themeColor="text2" w:themeTint="99"/>
          <w:bottom w:val="single" w:sz="4" w:space="0" w:color="548DD4" w:themeColor="text2" w:themeTint="99"/>
          <w:right w:val="single" w:sz="4" w:space="0" w:color="548DD4" w:themeColor="text2" w:themeTint="99"/>
          <w:insideH w:val="single" w:sz="4" w:space="0" w:color="548DD4" w:themeColor="text2" w:themeTint="99"/>
          <w:insideV w:val="single" w:sz="4" w:space="0" w:color="548DD4" w:themeColor="text2" w:themeTint="99"/>
        </w:tcBorders>
        <w:vAlign w:val="center"/>
      </w:tcPr>
    </w:tblStylePr>
    <w:tblStylePr w:type="lastCol">
      <w:rPr>
        <w:rFonts w:asciiTheme="minorHAnsi" w:hAnsiTheme="minorHAnsi"/>
        <w:b w:val="0"/>
        <w:bCs/>
        <w:sz w:val="18"/>
      </w:rPr>
      <w:tblPr/>
      <w:tcPr>
        <w:tcBorders>
          <w:top w:val="single" w:sz="4" w:space="0" w:color="548DD4" w:themeColor="text2" w:themeTint="99"/>
          <w:left w:val="single" w:sz="4" w:space="0" w:color="548DD4" w:themeColor="text2" w:themeTint="99"/>
          <w:bottom w:val="single" w:sz="4" w:space="0" w:color="548DD4" w:themeColor="text2" w:themeTint="99"/>
          <w:right w:val="single" w:sz="4" w:space="0" w:color="548DD4" w:themeColor="text2" w:themeTint="99"/>
          <w:insideH w:val="single" w:sz="4" w:space="0" w:color="548DD4" w:themeColor="text2" w:themeTint="99"/>
          <w:insideV w:val="single" w:sz="4" w:space="0" w:color="548DD4" w:themeColor="text2" w:themeTint="99"/>
        </w:tcBorders>
      </w:tcPr>
    </w:tblStylePr>
    <w:tblStylePr w:type="band1Vert">
      <w:tblPr/>
      <w:tcPr>
        <w:tcBorders>
          <w:top w:val="single" w:sz="4" w:space="0" w:color="548DD4" w:themeColor="text2" w:themeTint="99"/>
          <w:left w:val="single" w:sz="4" w:space="0" w:color="548DD4" w:themeColor="text2" w:themeTint="99"/>
          <w:bottom w:val="single" w:sz="4" w:space="0" w:color="548DD4" w:themeColor="text2" w:themeTint="99"/>
          <w:right w:val="single" w:sz="4" w:space="0" w:color="548DD4" w:themeColor="text2" w:themeTint="99"/>
          <w:insideH w:val="single" w:sz="4" w:space="0" w:color="548DD4" w:themeColor="text2" w:themeTint="99"/>
          <w:insideV w:val="single" w:sz="4" w:space="0" w:color="548DD4" w:themeColor="text2" w:themeTint="99"/>
        </w:tcBorders>
      </w:tcPr>
    </w:tblStylePr>
    <w:tblStylePr w:type="band1Horz">
      <w:pPr>
        <w:jc w:val="left"/>
      </w:pPr>
      <w:tblPr/>
      <w:tcPr>
        <w:tcBorders>
          <w:top w:val="single" w:sz="4" w:space="0" w:color="548DD4" w:themeColor="text2" w:themeTint="99"/>
          <w:left w:val="single" w:sz="4" w:space="0" w:color="548DD4" w:themeColor="text2" w:themeTint="99"/>
          <w:bottom w:val="single" w:sz="4" w:space="0" w:color="548DD4" w:themeColor="text2" w:themeTint="99"/>
          <w:right w:val="single" w:sz="4" w:space="0" w:color="548DD4" w:themeColor="text2" w:themeTint="99"/>
          <w:insideH w:val="single" w:sz="4" w:space="0" w:color="548DD4" w:themeColor="text2" w:themeTint="99"/>
          <w:insideV w:val="single" w:sz="4" w:space="0" w:color="548DD4" w:themeColor="text2" w:themeTint="99"/>
        </w:tcBorders>
        <w:shd w:val="clear" w:color="auto" w:fill="D3DFEE" w:themeFill="accent1" w:themeFillTint="3F"/>
        <w:vAlign w:val="center"/>
      </w:tcPr>
    </w:tblStylePr>
    <w:tblStylePr w:type="band2Horz">
      <w:tblPr/>
      <w:tcPr>
        <w:tcBorders>
          <w:top w:val="single" w:sz="4" w:space="0" w:color="548DD4" w:themeColor="text2" w:themeTint="99"/>
          <w:left w:val="single" w:sz="4" w:space="0" w:color="548DD4" w:themeColor="text2" w:themeTint="99"/>
          <w:bottom w:val="single" w:sz="4" w:space="0" w:color="548DD4" w:themeColor="text2" w:themeTint="99"/>
          <w:right w:val="single" w:sz="4" w:space="0" w:color="548DD4" w:themeColor="text2" w:themeTint="99"/>
          <w:insideH w:val="single" w:sz="4" w:space="0" w:color="548DD4" w:themeColor="text2" w:themeTint="99"/>
          <w:insideV w:val="single" w:sz="4" w:space="0" w:color="548DD4" w:themeColor="text2" w:themeTint="99"/>
        </w:tcBorders>
      </w:tcPr>
    </w:tblStylePr>
  </w:style>
  <w:style w:type="table" w:styleId="MediumShading1-Accent1">
    <w:name w:val="Medium Shading 1 Accent 1"/>
    <w:basedOn w:val="TableNormal"/>
    <w:uiPriority w:val="63"/>
    <w:rsid w:val="00C52C55"/>
    <w:pPr>
      <w:spacing w:after="0" w:line="240" w:lineRule="auto"/>
    </w:pPr>
    <w:tblPr>
      <w:tblStyleRowBandSize w:val="1"/>
      <w:tblStyleColBandSize w:val="1"/>
      <w:tblInd w:w="0" w:type="dxa"/>
      <w:tblBorders>
        <w:top w:val="single" w:sz="4" w:space="0" w:color="548DD4" w:themeColor="text2" w:themeTint="99"/>
        <w:left w:val="single" w:sz="4" w:space="0" w:color="548DD4" w:themeColor="text2" w:themeTint="99"/>
        <w:bottom w:val="single" w:sz="4" w:space="0" w:color="548DD4" w:themeColor="text2" w:themeTint="99"/>
        <w:right w:val="single" w:sz="4" w:space="0" w:color="548DD4" w:themeColor="text2" w:themeTint="99"/>
        <w:insideH w:val="single" w:sz="4" w:space="0" w:color="548DD4" w:themeColor="text2" w:themeTint="99"/>
        <w:insideV w:val="single" w:sz="4" w:space="0" w:color="548DD4" w:themeColor="text2" w:themeTint="99"/>
      </w:tblBorders>
      <w:tblCellMar>
        <w:top w:w="0" w:type="dxa"/>
        <w:left w:w="108" w:type="dxa"/>
        <w:bottom w:w="0" w:type="dxa"/>
        <w:right w:w="108" w:type="dxa"/>
      </w:tblCellMar>
    </w:tblPr>
    <w:tblStylePr w:type="firstRow">
      <w:pPr>
        <w:spacing w:before="0" w:after="0" w:line="240" w:lineRule="auto"/>
        <w:jc w:val="left"/>
      </w:pPr>
      <w:rPr>
        <w:rFonts w:asciiTheme="minorHAnsi" w:hAnsiTheme="minorHAnsi"/>
        <w:b/>
        <w:bCs/>
        <w:color w:val="FFFFFF" w:themeColor="background1"/>
        <w:sz w:val="22"/>
      </w:rPr>
      <w:tblPr/>
      <w:tcPr>
        <w:tcBorders>
          <w:top w:val="single" w:sz="4" w:space="0" w:color="548DD4" w:themeColor="text2" w:themeTint="99"/>
          <w:left w:val="single" w:sz="4" w:space="0" w:color="548DD4" w:themeColor="text2" w:themeTint="99"/>
          <w:bottom w:val="single" w:sz="4" w:space="0" w:color="548DD4" w:themeColor="text2" w:themeTint="99"/>
          <w:right w:val="single" w:sz="4" w:space="0" w:color="548DD4" w:themeColor="text2" w:themeTint="99"/>
          <w:insideH w:val="single" w:sz="4" w:space="0" w:color="548DD4" w:themeColor="text2" w:themeTint="99"/>
          <w:insideV w:val="single" w:sz="4" w:space="0" w:color="548DD4" w:themeColor="text2" w:themeTint="99"/>
        </w:tcBorders>
        <w:shd w:val="clear" w:color="auto" w:fill="4F81BD" w:themeFill="accent1"/>
        <w:vAlign w:val="center"/>
      </w:tcPr>
    </w:tblStylePr>
    <w:tblStylePr w:type="lastRow">
      <w:pPr>
        <w:spacing w:before="0" w:after="0" w:line="240" w:lineRule="auto"/>
      </w:pPr>
      <w:rPr>
        <w:rFonts w:asciiTheme="minorHAnsi" w:hAnsiTheme="minorHAnsi"/>
        <w:b w:val="0"/>
        <w:bCs/>
        <w:sz w:val="18"/>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pPr>
        <w:jc w:val="center"/>
      </w:pPr>
      <w:rPr>
        <w:rFonts w:asciiTheme="minorHAnsi" w:hAnsiTheme="minorHAnsi"/>
        <w:b w:val="0"/>
        <w:bCs/>
        <w:sz w:val="18"/>
      </w:rPr>
      <w:tblPr/>
      <w:tcPr>
        <w:tcBorders>
          <w:top w:val="single" w:sz="4" w:space="0" w:color="548DD4" w:themeColor="text2" w:themeTint="99"/>
          <w:left w:val="single" w:sz="4" w:space="0" w:color="548DD4" w:themeColor="text2" w:themeTint="99"/>
          <w:bottom w:val="single" w:sz="4" w:space="0" w:color="548DD4" w:themeColor="text2" w:themeTint="99"/>
          <w:right w:val="single" w:sz="4" w:space="0" w:color="548DD4" w:themeColor="text2" w:themeTint="99"/>
          <w:insideH w:val="single" w:sz="4" w:space="0" w:color="548DD4" w:themeColor="text2" w:themeTint="99"/>
          <w:insideV w:val="single" w:sz="4" w:space="0" w:color="548DD4" w:themeColor="text2" w:themeTint="99"/>
        </w:tcBorders>
        <w:vAlign w:val="center"/>
      </w:tcPr>
    </w:tblStylePr>
    <w:tblStylePr w:type="lastCol">
      <w:rPr>
        <w:rFonts w:asciiTheme="minorHAnsi" w:hAnsiTheme="minorHAnsi"/>
        <w:b w:val="0"/>
        <w:bCs/>
        <w:sz w:val="18"/>
      </w:rPr>
      <w:tblPr/>
      <w:tcPr>
        <w:tcBorders>
          <w:top w:val="single" w:sz="4" w:space="0" w:color="548DD4" w:themeColor="text2" w:themeTint="99"/>
          <w:left w:val="single" w:sz="4" w:space="0" w:color="548DD4" w:themeColor="text2" w:themeTint="99"/>
          <w:bottom w:val="single" w:sz="4" w:space="0" w:color="548DD4" w:themeColor="text2" w:themeTint="99"/>
          <w:right w:val="single" w:sz="4" w:space="0" w:color="548DD4" w:themeColor="text2" w:themeTint="99"/>
          <w:insideH w:val="single" w:sz="4" w:space="0" w:color="548DD4" w:themeColor="text2" w:themeTint="99"/>
          <w:insideV w:val="single" w:sz="4" w:space="0" w:color="548DD4" w:themeColor="text2" w:themeTint="99"/>
        </w:tcBorders>
      </w:tcPr>
    </w:tblStylePr>
    <w:tblStylePr w:type="band1Vert">
      <w:tblPr/>
      <w:tcPr>
        <w:shd w:val="clear" w:color="auto" w:fill="D3DFEE" w:themeFill="accent1" w:themeFillTint="3F"/>
      </w:tcPr>
    </w:tblStylePr>
    <w:tblStylePr w:type="band1Horz">
      <w:pPr>
        <w:jc w:val="left"/>
      </w:pPr>
      <w:rPr>
        <w:rFonts w:asciiTheme="minorHAnsi" w:hAnsiTheme="minorHAnsi"/>
        <w:sz w:val="18"/>
      </w:rPr>
      <w:tblPr/>
      <w:tcPr>
        <w:shd w:val="clear" w:color="auto" w:fill="FFFFFF" w:themeFill="background1"/>
      </w:tcPr>
    </w:tblStylePr>
    <w:tblStylePr w:type="band2Horz">
      <w:pPr>
        <w:jc w:val="left"/>
      </w:pPr>
      <w:rPr>
        <w:rFonts w:asciiTheme="minorHAnsi" w:hAnsiTheme="minorHAnsi"/>
        <w:sz w:val="18"/>
      </w:rPr>
      <w:tblPr/>
      <w:tcPr>
        <w:shd w:val="clear" w:color="auto" w:fill="D3DFEE"/>
      </w:tcPr>
    </w:tblStylePr>
  </w:style>
  <w:style w:type="character" w:customStyle="1" w:styleId="CommentsStyle">
    <w:name w:val="CommentsStyle"/>
    <w:rPr>
      <w:sz w:val="18"/>
    </w:rPr>
  </w:style>
  <w:style w:type="character" w:customStyle="1" w:styleId="CommentStyle">
    <w:name w:val="CommentStyle"/>
    <w:rPr>
      <w:sz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2220211">
      <w:bodyDiv w:val="1"/>
      <w:marLeft w:val="0"/>
      <w:marRight w:val="0"/>
      <w:marTop w:val="0"/>
      <w:marBottom w:val="0"/>
      <w:divBdr>
        <w:top w:val="none" w:sz="0" w:space="0" w:color="auto"/>
        <w:left w:val="none" w:sz="0" w:space="0" w:color="auto"/>
        <w:bottom w:val="none" w:sz="0" w:space="0" w:color="auto"/>
        <w:right w:val="none" w:sz="0" w:space="0" w:color="auto"/>
      </w:divBdr>
    </w:div>
    <w:div w:id="243882701">
      <w:bodyDiv w:val="1"/>
      <w:marLeft w:val="0"/>
      <w:marRight w:val="0"/>
      <w:marTop w:val="0"/>
      <w:marBottom w:val="0"/>
      <w:divBdr>
        <w:top w:val="none" w:sz="0" w:space="0" w:color="auto"/>
        <w:left w:val="none" w:sz="0" w:space="0" w:color="auto"/>
        <w:bottom w:val="none" w:sz="0" w:space="0" w:color="auto"/>
        <w:right w:val="none" w:sz="0" w:space="0" w:color="auto"/>
      </w:divBdr>
    </w:div>
    <w:div w:id="269243419">
      <w:bodyDiv w:val="1"/>
      <w:marLeft w:val="0"/>
      <w:marRight w:val="0"/>
      <w:marTop w:val="0"/>
      <w:marBottom w:val="0"/>
      <w:divBdr>
        <w:top w:val="none" w:sz="0" w:space="0" w:color="auto"/>
        <w:left w:val="none" w:sz="0" w:space="0" w:color="auto"/>
        <w:bottom w:val="none" w:sz="0" w:space="0" w:color="auto"/>
        <w:right w:val="none" w:sz="0" w:space="0" w:color="auto"/>
      </w:divBdr>
    </w:div>
    <w:div w:id="459031402">
      <w:bodyDiv w:val="1"/>
      <w:marLeft w:val="0"/>
      <w:marRight w:val="0"/>
      <w:marTop w:val="0"/>
      <w:marBottom w:val="0"/>
      <w:divBdr>
        <w:top w:val="none" w:sz="0" w:space="0" w:color="auto"/>
        <w:left w:val="none" w:sz="0" w:space="0" w:color="auto"/>
        <w:bottom w:val="none" w:sz="0" w:space="0" w:color="auto"/>
        <w:right w:val="none" w:sz="0" w:space="0" w:color="auto"/>
      </w:divBdr>
    </w:div>
    <w:div w:id="468211116">
      <w:bodyDiv w:val="1"/>
      <w:marLeft w:val="0"/>
      <w:marRight w:val="0"/>
      <w:marTop w:val="0"/>
      <w:marBottom w:val="0"/>
      <w:divBdr>
        <w:top w:val="none" w:sz="0" w:space="0" w:color="auto"/>
        <w:left w:val="none" w:sz="0" w:space="0" w:color="auto"/>
        <w:bottom w:val="none" w:sz="0" w:space="0" w:color="auto"/>
        <w:right w:val="none" w:sz="0" w:space="0" w:color="auto"/>
      </w:divBdr>
    </w:div>
    <w:div w:id="530609849">
      <w:bodyDiv w:val="1"/>
      <w:marLeft w:val="0"/>
      <w:marRight w:val="0"/>
      <w:marTop w:val="0"/>
      <w:marBottom w:val="0"/>
      <w:divBdr>
        <w:top w:val="none" w:sz="0" w:space="0" w:color="auto"/>
        <w:left w:val="none" w:sz="0" w:space="0" w:color="auto"/>
        <w:bottom w:val="none" w:sz="0" w:space="0" w:color="auto"/>
        <w:right w:val="none" w:sz="0" w:space="0" w:color="auto"/>
      </w:divBdr>
    </w:div>
    <w:div w:id="535243286">
      <w:bodyDiv w:val="1"/>
      <w:marLeft w:val="0"/>
      <w:marRight w:val="0"/>
      <w:marTop w:val="0"/>
      <w:marBottom w:val="0"/>
      <w:divBdr>
        <w:top w:val="none" w:sz="0" w:space="0" w:color="auto"/>
        <w:left w:val="none" w:sz="0" w:space="0" w:color="auto"/>
        <w:bottom w:val="none" w:sz="0" w:space="0" w:color="auto"/>
        <w:right w:val="none" w:sz="0" w:space="0" w:color="auto"/>
      </w:divBdr>
    </w:div>
    <w:div w:id="643781294">
      <w:bodyDiv w:val="1"/>
      <w:marLeft w:val="0"/>
      <w:marRight w:val="0"/>
      <w:marTop w:val="0"/>
      <w:marBottom w:val="0"/>
      <w:divBdr>
        <w:top w:val="none" w:sz="0" w:space="0" w:color="auto"/>
        <w:left w:val="none" w:sz="0" w:space="0" w:color="auto"/>
        <w:bottom w:val="none" w:sz="0" w:space="0" w:color="auto"/>
        <w:right w:val="none" w:sz="0" w:space="0" w:color="auto"/>
      </w:divBdr>
    </w:div>
    <w:div w:id="664628202">
      <w:bodyDiv w:val="1"/>
      <w:marLeft w:val="0"/>
      <w:marRight w:val="0"/>
      <w:marTop w:val="0"/>
      <w:marBottom w:val="0"/>
      <w:divBdr>
        <w:top w:val="none" w:sz="0" w:space="0" w:color="auto"/>
        <w:left w:val="none" w:sz="0" w:space="0" w:color="auto"/>
        <w:bottom w:val="none" w:sz="0" w:space="0" w:color="auto"/>
        <w:right w:val="none" w:sz="0" w:space="0" w:color="auto"/>
      </w:divBdr>
    </w:div>
    <w:div w:id="699091798">
      <w:bodyDiv w:val="1"/>
      <w:marLeft w:val="0"/>
      <w:marRight w:val="0"/>
      <w:marTop w:val="0"/>
      <w:marBottom w:val="0"/>
      <w:divBdr>
        <w:top w:val="none" w:sz="0" w:space="0" w:color="auto"/>
        <w:left w:val="none" w:sz="0" w:space="0" w:color="auto"/>
        <w:bottom w:val="none" w:sz="0" w:space="0" w:color="auto"/>
        <w:right w:val="none" w:sz="0" w:space="0" w:color="auto"/>
      </w:divBdr>
    </w:div>
    <w:div w:id="712194982">
      <w:bodyDiv w:val="1"/>
      <w:marLeft w:val="0"/>
      <w:marRight w:val="0"/>
      <w:marTop w:val="0"/>
      <w:marBottom w:val="0"/>
      <w:divBdr>
        <w:top w:val="none" w:sz="0" w:space="0" w:color="auto"/>
        <w:left w:val="none" w:sz="0" w:space="0" w:color="auto"/>
        <w:bottom w:val="none" w:sz="0" w:space="0" w:color="auto"/>
        <w:right w:val="none" w:sz="0" w:space="0" w:color="auto"/>
      </w:divBdr>
    </w:div>
    <w:div w:id="730006381">
      <w:bodyDiv w:val="1"/>
      <w:marLeft w:val="0"/>
      <w:marRight w:val="0"/>
      <w:marTop w:val="0"/>
      <w:marBottom w:val="0"/>
      <w:divBdr>
        <w:top w:val="none" w:sz="0" w:space="0" w:color="auto"/>
        <w:left w:val="none" w:sz="0" w:space="0" w:color="auto"/>
        <w:bottom w:val="none" w:sz="0" w:space="0" w:color="auto"/>
        <w:right w:val="none" w:sz="0" w:space="0" w:color="auto"/>
      </w:divBdr>
    </w:div>
    <w:div w:id="744840039">
      <w:bodyDiv w:val="1"/>
      <w:marLeft w:val="0"/>
      <w:marRight w:val="0"/>
      <w:marTop w:val="0"/>
      <w:marBottom w:val="0"/>
      <w:divBdr>
        <w:top w:val="none" w:sz="0" w:space="0" w:color="auto"/>
        <w:left w:val="none" w:sz="0" w:space="0" w:color="auto"/>
        <w:bottom w:val="none" w:sz="0" w:space="0" w:color="auto"/>
        <w:right w:val="none" w:sz="0" w:space="0" w:color="auto"/>
      </w:divBdr>
    </w:div>
    <w:div w:id="795872202">
      <w:bodyDiv w:val="1"/>
      <w:marLeft w:val="0"/>
      <w:marRight w:val="0"/>
      <w:marTop w:val="0"/>
      <w:marBottom w:val="0"/>
      <w:divBdr>
        <w:top w:val="none" w:sz="0" w:space="0" w:color="auto"/>
        <w:left w:val="none" w:sz="0" w:space="0" w:color="auto"/>
        <w:bottom w:val="none" w:sz="0" w:space="0" w:color="auto"/>
        <w:right w:val="none" w:sz="0" w:space="0" w:color="auto"/>
      </w:divBdr>
    </w:div>
    <w:div w:id="823476216">
      <w:bodyDiv w:val="1"/>
      <w:marLeft w:val="0"/>
      <w:marRight w:val="0"/>
      <w:marTop w:val="0"/>
      <w:marBottom w:val="0"/>
      <w:divBdr>
        <w:top w:val="none" w:sz="0" w:space="0" w:color="auto"/>
        <w:left w:val="none" w:sz="0" w:space="0" w:color="auto"/>
        <w:bottom w:val="none" w:sz="0" w:space="0" w:color="auto"/>
        <w:right w:val="none" w:sz="0" w:space="0" w:color="auto"/>
      </w:divBdr>
    </w:div>
    <w:div w:id="849679106">
      <w:bodyDiv w:val="1"/>
      <w:marLeft w:val="0"/>
      <w:marRight w:val="0"/>
      <w:marTop w:val="0"/>
      <w:marBottom w:val="0"/>
      <w:divBdr>
        <w:top w:val="none" w:sz="0" w:space="0" w:color="auto"/>
        <w:left w:val="none" w:sz="0" w:space="0" w:color="auto"/>
        <w:bottom w:val="none" w:sz="0" w:space="0" w:color="auto"/>
        <w:right w:val="none" w:sz="0" w:space="0" w:color="auto"/>
      </w:divBdr>
    </w:div>
    <w:div w:id="859202817">
      <w:bodyDiv w:val="1"/>
      <w:marLeft w:val="0"/>
      <w:marRight w:val="0"/>
      <w:marTop w:val="0"/>
      <w:marBottom w:val="0"/>
      <w:divBdr>
        <w:top w:val="none" w:sz="0" w:space="0" w:color="auto"/>
        <w:left w:val="none" w:sz="0" w:space="0" w:color="auto"/>
        <w:bottom w:val="none" w:sz="0" w:space="0" w:color="auto"/>
        <w:right w:val="none" w:sz="0" w:space="0" w:color="auto"/>
      </w:divBdr>
    </w:div>
    <w:div w:id="862090659">
      <w:bodyDiv w:val="1"/>
      <w:marLeft w:val="0"/>
      <w:marRight w:val="0"/>
      <w:marTop w:val="0"/>
      <w:marBottom w:val="0"/>
      <w:divBdr>
        <w:top w:val="none" w:sz="0" w:space="0" w:color="auto"/>
        <w:left w:val="none" w:sz="0" w:space="0" w:color="auto"/>
        <w:bottom w:val="none" w:sz="0" w:space="0" w:color="auto"/>
        <w:right w:val="none" w:sz="0" w:space="0" w:color="auto"/>
      </w:divBdr>
    </w:div>
    <w:div w:id="1051461314">
      <w:bodyDiv w:val="1"/>
      <w:marLeft w:val="0"/>
      <w:marRight w:val="0"/>
      <w:marTop w:val="0"/>
      <w:marBottom w:val="0"/>
      <w:divBdr>
        <w:top w:val="none" w:sz="0" w:space="0" w:color="auto"/>
        <w:left w:val="none" w:sz="0" w:space="0" w:color="auto"/>
        <w:bottom w:val="none" w:sz="0" w:space="0" w:color="auto"/>
        <w:right w:val="none" w:sz="0" w:space="0" w:color="auto"/>
      </w:divBdr>
    </w:div>
    <w:div w:id="1057896344">
      <w:bodyDiv w:val="1"/>
      <w:marLeft w:val="0"/>
      <w:marRight w:val="0"/>
      <w:marTop w:val="0"/>
      <w:marBottom w:val="0"/>
      <w:divBdr>
        <w:top w:val="none" w:sz="0" w:space="0" w:color="auto"/>
        <w:left w:val="none" w:sz="0" w:space="0" w:color="auto"/>
        <w:bottom w:val="none" w:sz="0" w:space="0" w:color="auto"/>
        <w:right w:val="none" w:sz="0" w:space="0" w:color="auto"/>
      </w:divBdr>
    </w:div>
    <w:div w:id="1079401256">
      <w:bodyDiv w:val="1"/>
      <w:marLeft w:val="0"/>
      <w:marRight w:val="0"/>
      <w:marTop w:val="0"/>
      <w:marBottom w:val="0"/>
      <w:divBdr>
        <w:top w:val="none" w:sz="0" w:space="0" w:color="auto"/>
        <w:left w:val="none" w:sz="0" w:space="0" w:color="auto"/>
        <w:bottom w:val="none" w:sz="0" w:space="0" w:color="auto"/>
        <w:right w:val="none" w:sz="0" w:space="0" w:color="auto"/>
      </w:divBdr>
    </w:div>
    <w:div w:id="1104499238">
      <w:bodyDiv w:val="1"/>
      <w:marLeft w:val="0"/>
      <w:marRight w:val="0"/>
      <w:marTop w:val="0"/>
      <w:marBottom w:val="0"/>
      <w:divBdr>
        <w:top w:val="none" w:sz="0" w:space="0" w:color="auto"/>
        <w:left w:val="none" w:sz="0" w:space="0" w:color="auto"/>
        <w:bottom w:val="none" w:sz="0" w:space="0" w:color="auto"/>
        <w:right w:val="none" w:sz="0" w:space="0" w:color="auto"/>
      </w:divBdr>
    </w:div>
    <w:div w:id="1137793658">
      <w:bodyDiv w:val="1"/>
      <w:marLeft w:val="0"/>
      <w:marRight w:val="0"/>
      <w:marTop w:val="0"/>
      <w:marBottom w:val="0"/>
      <w:divBdr>
        <w:top w:val="none" w:sz="0" w:space="0" w:color="auto"/>
        <w:left w:val="none" w:sz="0" w:space="0" w:color="auto"/>
        <w:bottom w:val="none" w:sz="0" w:space="0" w:color="auto"/>
        <w:right w:val="none" w:sz="0" w:space="0" w:color="auto"/>
      </w:divBdr>
    </w:div>
    <w:div w:id="1209800132">
      <w:bodyDiv w:val="1"/>
      <w:marLeft w:val="0"/>
      <w:marRight w:val="0"/>
      <w:marTop w:val="0"/>
      <w:marBottom w:val="0"/>
      <w:divBdr>
        <w:top w:val="none" w:sz="0" w:space="0" w:color="auto"/>
        <w:left w:val="none" w:sz="0" w:space="0" w:color="auto"/>
        <w:bottom w:val="none" w:sz="0" w:space="0" w:color="auto"/>
        <w:right w:val="none" w:sz="0" w:space="0" w:color="auto"/>
      </w:divBdr>
    </w:div>
    <w:div w:id="1283918892">
      <w:bodyDiv w:val="1"/>
      <w:marLeft w:val="0"/>
      <w:marRight w:val="0"/>
      <w:marTop w:val="0"/>
      <w:marBottom w:val="0"/>
      <w:divBdr>
        <w:top w:val="none" w:sz="0" w:space="0" w:color="auto"/>
        <w:left w:val="none" w:sz="0" w:space="0" w:color="auto"/>
        <w:bottom w:val="none" w:sz="0" w:space="0" w:color="auto"/>
        <w:right w:val="none" w:sz="0" w:space="0" w:color="auto"/>
      </w:divBdr>
    </w:div>
    <w:div w:id="1306813579">
      <w:bodyDiv w:val="1"/>
      <w:marLeft w:val="0"/>
      <w:marRight w:val="0"/>
      <w:marTop w:val="0"/>
      <w:marBottom w:val="0"/>
      <w:divBdr>
        <w:top w:val="none" w:sz="0" w:space="0" w:color="auto"/>
        <w:left w:val="none" w:sz="0" w:space="0" w:color="auto"/>
        <w:bottom w:val="none" w:sz="0" w:space="0" w:color="auto"/>
        <w:right w:val="none" w:sz="0" w:space="0" w:color="auto"/>
      </w:divBdr>
    </w:div>
    <w:div w:id="1331788379">
      <w:bodyDiv w:val="1"/>
      <w:marLeft w:val="0"/>
      <w:marRight w:val="0"/>
      <w:marTop w:val="0"/>
      <w:marBottom w:val="0"/>
      <w:divBdr>
        <w:top w:val="none" w:sz="0" w:space="0" w:color="auto"/>
        <w:left w:val="none" w:sz="0" w:space="0" w:color="auto"/>
        <w:bottom w:val="none" w:sz="0" w:space="0" w:color="auto"/>
        <w:right w:val="none" w:sz="0" w:space="0" w:color="auto"/>
      </w:divBdr>
    </w:div>
    <w:div w:id="1409116692">
      <w:bodyDiv w:val="1"/>
      <w:marLeft w:val="0"/>
      <w:marRight w:val="0"/>
      <w:marTop w:val="0"/>
      <w:marBottom w:val="0"/>
      <w:divBdr>
        <w:top w:val="none" w:sz="0" w:space="0" w:color="auto"/>
        <w:left w:val="none" w:sz="0" w:space="0" w:color="auto"/>
        <w:bottom w:val="none" w:sz="0" w:space="0" w:color="auto"/>
        <w:right w:val="none" w:sz="0" w:space="0" w:color="auto"/>
      </w:divBdr>
    </w:div>
    <w:div w:id="1433555048">
      <w:bodyDiv w:val="1"/>
      <w:marLeft w:val="0"/>
      <w:marRight w:val="0"/>
      <w:marTop w:val="0"/>
      <w:marBottom w:val="0"/>
      <w:divBdr>
        <w:top w:val="none" w:sz="0" w:space="0" w:color="auto"/>
        <w:left w:val="none" w:sz="0" w:space="0" w:color="auto"/>
        <w:bottom w:val="none" w:sz="0" w:space="0" w:color="auto"/>
        <w:right w:val="none" w:sz="0" w:space="0" w:color="auto"/>
      </w:divBdr>
    </w:div>
    <w:div w:id="1445078025">
      <w:bodyDiv w:val="1"/>
      <w:marLeft w:val="0"/>
      <w:marRight w:val="0"/>
      <w:marTop w:val="0"/>
      <w:marBottom w:val="0"/>
      <w:divBdr>
        <w:top w:val="none" w:sz="0" w:space="0" w:color="auto"/>
        <w:left w:val="none" w:sz="0" w:space="0" w:color="auto"/>
        <w:bottom w:val="none" w:sz="0" w:space="0" w:color="auto"/>
        <w:right w:val="none" w:sz="0" w:space="0" w:color="auto"/>
      </w:divBdr>
    </w:div>
    <w:div w:id="1471827550">
      <w:bodyDiv w:val="1"/>
      <w:marLeft w:val="0"/>
      <w:marRight w:val="0"/>
      <w:marTop w:val="0"/>
      <w:marBottom w:val="0"/>
      <w:divBdr>
        <w:top w:val="none" w:sz="0" w:space="0" w:color="auto"/>
        <w:left w:val="none" w:sz="0" w:space="0" w:color="auto"/>
        <w:bottom w:val="none" w:sz="0" w:space="0" w:color="auto"/>
        <w:right w:val="none" w:sz="0" w:space="0" w:color="auto"/>
      </w:divBdr>
    </w:div>
    <w:div w:id="1604025608">
      <w:bodyDiv w:val="1"/>
      <w:marLeft w:val="0"/>
      <w:marRight w:val="0"/>
      <w:marTop w:val="0"/>
      <w:marBottom w:val="0"/>
      <w:divBdr>
        <w:top w:val="none" w:sz="0" w:space="0" w:color="auto"/>
        <w:left w:val="none" w:sz="0" w:space="0" w:color="auto"/>
        <w:bottom w:val="none" w:sz="0" w:space="0" w:color="auto"/>
        <w:right w:val="none" w:sz="0" w:space="0" w:color="auto"/>
      </w:divBdr>
    </w:div>
    <w:div w:id="1618609795">
      <w:bodyDiv w:val="1"/>
      <w:marLeft w:val="0"/>
      <w:marRight w:val="0"/>
      <w:marTop w:val="0"/>
      <w:marBottom w:val="0"/>
      <w:divBdr>
        <w:top w:val="none" w:sz="0" w:space="0" w:color="auto"/>
        <w:left w:val="none" w:sz="0" w:space="0" w:color="auto"/>
        <w:bottom w:val="none" w:sz="0" w:space="0" w:color="auto"/>
        <w:right w:val="none" w:sz="0" w:space="0" w:color="auto"/>
      </w:divBdr>
    </w:div>
    <w:div w:id="1673290558">
      <w:bodyDiv w:val="1"/>
      <w:marLeft w:val="0"/>
      <w:marRight w:val="0"/>
      <w:marTop w:val="0"/>
      <w:marBottom w:val="0"/>
      <w:divBdr>
        <w:top w:val="none" w:sz="0" w:space="0" w:color="auto"/>
        <w:left w:val="none" w:sz="0" w:space="0" w:color="auto"/>
        <w:bottom w:val="none" w:sz="0" w:space="0" w:color="auto"/>
        <w:right w:val="none" w:sz="0" w:space="0" w:color="auto"/>
      </w:divBdr>
    </w:div>
    <w:div w:id="1681809937">
      <w:bodyDiv w:val="1"/>
      <w:marLeft w:val="0"/>
      <w:marRight w:val="0"/>
      <w:marTop w:val="0"/>
      <w:marBottom w:val="0"/>
      <w:divBdr>
        <w:top w:val="none" w:sz="0" w:space="0" w:color="auto"/>
        <w:left w:val="none" w:sz="0" w:space="0" w:color="auto"/>
        <w:bottom w:val="none" w:sz="0" w:space="0" w:color="auto"/>
        <w:right w:val="none" w:sz="0" w:space="0" w:color="auto"/>
      </w:divBdr>
    </w:div>
    <w:div w:id="1752435300">
      <w:bodyDiv w:val="1"/>
      <w:marLeft w:val="0"/>
      <w:marRight w:val="0"/>
      <w:marTop w:val="0"/>
      <w:marBottom w:val="0"/>
      <w:divBdr>
        <w:top w:val="none" w:sz="0" w:space="0" w:color="auto"/>
        <w:left w:val="none" w:sz="0" w:space="0" w:color="auto"/>
        <w:bottom w:val="none" w:sz="0" w:space="0" w:color="auto"/>
        <w:right w:val="none" w:sz="0" w:space="0" w:color="auto"/>
      </w:divBdr>
    </w:div>
    <w:div w:id="1768505127">
      <w:bodyDiv w:val="1"/>
      <w:marLeft w:val="0"/>
      <w:marRight w:val="0"/>
      <w:marTop w:val="0"/>
      <w:marBottom w:val="0"/>
      <w:divBdr>
        <w:top w:val="none" w:sz="0" w:space="0" w:color="auto"/>
        <w:left w:val="none" w:sz="0" w:space="0" w:color="auto"/>
        <w:bottom w:val="none" w:sz="0" w:space="0" w:color="auto"/>
        <w:right w:val="none" w:sz="0" w:space="0" w:color="auto"/>
      </w:divBdr>
    </w:div>
    <w:div w:id="1801730164">
      <w:bodyDiv w:val="1"/>
      <w:marLeft w:val="0"/>
      <w:marRight w:val="0"/>
      <w:marTop w:val="0"/>
      <w:marBottom w:val="0"/>
      <w:divBdr>
        <w:top w:val="none" w:sz="0" w:space="0" w:color="auto"/>
        <w:left w:val="none" w:sz="0" w:space="0" w:color="auto"/>
        <w:bottom w:val="none" w:sz="0" w:space="0" w:color="auto"/>
        <w:right w:val="none" w:sz="0" w:space="0" w:color="auto"/>
      </w:divBdr>
    </w:div>
    <w:div w:id="1949308938">
      <w:bodyDiv w:val="1"/>
      <w:marLeft w:val="0"/>
      <w:marRight w:val="0"/>
      <w:marTop w:val="0"/>
      <w:marBottom w:val="0"/>
      <w:divBdr>
        <w:top w:val="none" w:sz="0" w:space="0" w:color="auto"/>
        <w:left w:val="none" w:sz="0" w:space="0" w:color="auto"/>
        <w:bottom w:val="none" w:sz="0" w:space="0" w:color="auto"/>
        <w:right w:val="none" w:sz="0" w:space="0" w:color="auto"/>
      </w:divBdr>
    </w:div>
    <w:div w:id="1950888047">
      <w:bodyDiv w:val="1"/>
      <w:marLeft w:val="0"/>
      <w:marRight w:val="0"/>
      <w:marTop w:val="0"/>
      <w:marBottom w:val="0"/>
      <w:divBdr>
        <w:top w:val="none" w:sz="0" w:space="0" w:color="auto"/>
        <w:left w:val="none" w:sz="0" w:space="0" w:color="auto"/>
        <w:bottom w:val="none" w:sz="0" w:space="0" w:color="auto"/>
        <w:right w:val="none" w:sz="0" w:space="0" w:color="auto"/>
      </w:divBdr>
    </w:div>
    <w:div w:id="199263488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pubmed.ncbi.nlm.nih.gov/39855565" TargetMode="External"/><Relationship Id="rId18" Type="http://schemas.openxmlformats.org/officeDocument/2006/relationships/hyperlink" Target="https://pubmed.ncbi.nlm.nih.gov/38367737" TargetMode="External"/><Relationship Id="rId26" Type="http://schemas.openxmlformats.org/officeDocument/2006/relationships/hyperlink" Target="https://pubmed.ncbi.nlm.nih.gov/36202334" TargetMode="External"/><Relationship Id="rId39" Type="http://schemas.openxmlformats.org/officeDocument/2006/relationships/hyperlink" Target="https://pubmed.ncbi.nlm.nih.gov/31651069" TargetMode="External"/><Relationship Id="rId21" Type="http://schemas.openxmlformats.org/officeDocument/2006/relationships/hyperlink" Target="https://pubmed.ncbi.nlm.nih.gov/37550789" TargetMode="External"/><Relationship Id="rId34" Type="http://schemas.openxmlformats.org/officeDocument/2006/relationships/hyperlink" Target="https://pubmed.ncbi.nlm.nih.gov/33006109" TargetMode="External"/><Relationship Id="rId42" Type="http://schemas.openxmlformats.org/officeDocument/2006/relationships/hyperlink" Target="https://pubmed.ncbi.nlm.nih.gov/31471935" TargetMode="External"/><Relationship Id="rId47" Type="http://schemas.openxmlformats.org/officeDocument/2006/relationships/hyperlink" Target="https://pubmed.ncbi.nlm.nih.gov/30697957" TargetMode="External"/><Relationship Id="rId50" Type="http://schemas.openxmlformats.org/officeDocument/2006/relationships/hyperlink" Target="https://pubmed.ncbi.nlm.nih.gov/30267241" TargetMode="External"/><Relationship Id="rId55" Type="http://schemas.openxmlformats.org/officeDocument/2006/relationships/hyperlink" Target="../../../In-depth%20Profiles/16-04%20In-Depth%20Profiles/Mind%20Map/PiHPID_0730_Blachy%20Javier%20Davila%20Saldana.jpg" TargetMode="Externa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hyperlink" Target="https://pubmed.ncbi.nlm.nih.gov/38429096" TargetMode="External"/><Relationship Id="rId29" Type="http://schemas.openxmlformats.org/officeDocument/2006/relationships/hyperlink" Target="https://pubmed.ncbi.nlm.nih.gov/34375618" TargetMode="External"/><Relationship Id="rId11" Type="http://schemas.openxmlformats.org/officeDocument/2006/relationships/image" Target="media/image1.png"/><Relationship Id="rId24" Type="http://schemas.openxmlformats.org/officeDocument/2006/relationships/hyperlink" Target="https://pubmed.ncbi.nlm.nih.gov/36456360" TargetMode="External"/><Relationship Id="rId32" Type="http://schemas.openxmlformats.org/officeDocument/2006/relationships/hyperlink" Target="https://pubmed.ncbi.nlm.nih.gov/35371103" TargetMode="External"/><Relationship Id="rId37" Type="http://schemas.openxmlformats.org/officeDocument/2006/relationships/hyperlink" Target="https://pubmed.ncbi.nlm.nih.gov/32860171" TargetMode="External"/><Relationship Id="rId40" Type="http://schemas.openxmlformats.org/officeDocument/2006/relationships/hyperlink" Target="https://pubmed.ncbi.nlm.nih.gov/32153572" TargetMode="External"/><Relationship Id="rId45" Type="http://schemas.openxmlformats.org/officeDocument/2006/relationships/hyperlink" Target="https://pubmed.ncbi.nlm.nih.gov/31207086" TargetMode="External"/><Relationship Id="rId53" Type="http://schemas.openxmlformats.org/officeDocument/2006/relationships/hyperlink" Target="https://pubmed.ncbi.nlm.nih.gov/26371693" TargetMode="External"/><Relationship Id="rId58" Type="http://schemas.openxmlformats.org/officeDocument/2006/relationships/theme" Target="theme/theme1.xml"/><Relationship Id="rId5" Type="http://schemas.openxmlformats.org/officeDocument/2006/relationships/styles" Target="styles.xml"/><Relationship Id="rId19" Type="http://schemas.openxmlformats.org/officeDocument/2006/relationships/hyperlink" Target="https://pubmed.ncbi.nlm.nih.gov/37793572"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pubmed.ncbi.nlm.nih.gov/39792639" TargetMode="External"/><Relationship Id="rId22" Type="http://schemas.openxmlformats.org/officeDocument/2006/relationships/hyperlink" Target="https://pubmed.ncbi.nlm.nih.gov/37352885" TargetMode="External"/><Relationship Id="rId27" Type="http://schemas.openxmlformats.org/officeDocument/2006/relationships/hyperlink" Target="https://pubmed.ncbi.nlm.nih.gov/36818524" TargetMode="External"/><Relationship Id="rId30" Type="http://schemas.openxmlformats.org/officeDocument/2006/relationships/hyperlink" Target="https://pubmed.ncbi.nlm.nih.gov/34384841" TargetMode="External"/><Relationship Id="rId35" Type="http://schemas.openxmlformats.org/officeDocument/2006/relationships/hyperlink" Target="https://pubmed.ncbi.nlm.nih.gov/33067658" TargetMode="External"/><Relationship Id="rId43" Type="http://schemas.openxmlformats.org/officeDocument/2006/relationships/hyperlink" Target="https://pubmed.ncbi.nlm.nih.gov/31648332" TargetMode="External"/><Relationship Id="rId48" Type="http://schemas.openxmlformats.org/officeDocument/2006/relationships/hyperlink" Target="https://pubmed.ncbi.nlm.nih.gov/30174143" TargetMode="External"/><Relationship Id="rId56" Type="http://schemas.openxmlformats.org/officeDocument/2006/relationships/footer" Target="footer1.xml"/><Relationship Id="rId8" Type="http://schemas.openxmlformats.org/officeDocument/2006/relationships/webSettings" Target="webSettings.xml"/><Relationship Id="rId51" Type="http://schemas.openxmlformats.org/officeDocument/2006/relationships/hyperlink" Target="https://pubmed.ncbi.nlm.nih.gov/29472373" TargetMode="External"/><Relationship Id="rId3" Type="http://schemas.openxmlformats.org/officeDocument/2006/relationships/customXml" Target="../customXml/item3.xml"/><Relationship Id="rId12" Type="http://schemas.openxmlformats.org/officeDocument/2006/relationships/hyperlink" Target="https://pubmed.ncbi.nlm.nih.gov/39140311" TargetMode="External"/><Relationship Id="rId17" Type="http://schemas.openxmlformats.org/officeDocument/2006/relationships/hyperlink" Target="https://pubmed.ncbi.nlm.nih.gov/38290608" TargetMode="External"/><Relationship Id="rId25" Type="http://schemas.openxmlformats.org/officeDocument/2006/relationships/hyperlink" Target="https://pubmed.ncbi.nlm.nih.gov/35987350" TargetMode="External"/><Relationship Id="rId33" Type="http://schemas.openxmlformats.org/officeDocument/2006/relationships/hyperlink" Target="https://pubmed.ncbi.nlm.nih.gov/33274413" TargetMode="External"/><Relationship Id="rId38" Type="http://schemas.openxmlformats.org/officeDocument/2006/relationships/hyperlink" Target="https://pubmed.ncbi.nlm.nih.gov/32268350" TargetMode="External"/><Relationship Id="rId46" Type="http://schemas.openxmlformats.org/officeDocument/2006/relationships/hyperlink" Target="https://pubmed.ncbi.nlm.nih.gov/30527279" TargetMode="External"/><Relationship Id="rId20" Type="http://schemas.openxmlformats.org/officeDocument/2006/relationships/hyperlink" Target="https://pubmed.ncbi.nlm.nih.gov/37562003" TargetMode="External"/><Relationship Id="rId41" Type="http://schemas.openxmlformats.org/officeDocument/2006/relationships/hyperlink" Target="https://pubmed.ncbi.nlm.nih.gov/31306780" TargetMode="External"/><Relationship Id="rId54" Type="http://schemas.openxmlformats.org/officeDocument/2006/relationships/hyperlink" Target="https://pubmed.ncbi.nlm.nih.gov/23405946" TargetMode="External"/><Relationship Id="rId1" Type="http://schemas.openxmlformats.org/officeDocument/2006/relationships/customXml" Target="../customXml/item1.xml"/><Relationship Id="rId6" Type="http://schemas.microsoft.com/office/2007/relationships/stylesWithEffects" Target="stylesWithEffects.xml"/><Relationship Id="rId15" Type="http://schemas.openxmlformats.org/officeDocument/2006/relationships/hyperlink" Target="https://pubmed.ncbi.nlm.nih.gov/39069111" TargetMode="External"/><Relationship Id="rId23" Type="http://schemas.openxmlformats.org/officeDocument/2006/relationships/hyperlink" Target="https://pubmed.ncbi.nlm.nih.gov/36516084" TargetMode="External"/><Relationship Id="rId28" Type="http://schemas.openxmlformats.org/officeDocument/2006/relationships/hyperlink" Target="https://pubmed.ncbi.nlm.nih.gov/37900687" TargetMode="External"/><Relationship Id="rId36" Type="http://schemas.openxmlformats.org/officeDocument/2006/relationships/hyperlink" Target="https://pubmed.ncbi.nlm.nih.gov/34211466" TargetMode="External"/><Relationship Id="rId49" Type="http://schemas.openxmlformats.org/officeDocument/2006/relationships/hyperlink" Target="https://pubmed.ncbi.nlm.nih.gov/30154114" TargetMode="External"/><Relationship Id="rId57" Type="http://schemas.openxmlformats.org/officeDocument/2006/relationships/fontTable" Target="fontTable.xml"/><Relationship Id="rId10" Type="http://schemas.openxmlformats.org/officeDocument/2006/relationships/endnotes" Target="endnotes.xml"/><Relationship Id="rId31" Type="http://schemas.openxmlformats.org/officeDocument/2006/relationships/hyperlink" Target="https://pubmed.ncbi.nlm.nih.gov/34670275" TargetMode="External"/><Relationship Id="rId44" Type="http://schemas.openxmlformats.org/officeDocument/2006/relationships/hyperlink" Target="https://pubmed.ncbi.nlm.nih.gov/31376032" TargetMode="External"/><Relationship Id="rId52" Type="http://schemas.openxmlformats.org/officeDocument/2006/relationships/hyperlink" Target="https://pubmed.ncbi.nlm.nih.gov/29021228"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9A7EB3696C166B4E98EC7230A836A500" ma:contentTypeVersion="21" ma:contentTypeDescription="Create a new document." ma:contentTypeScope="" ma:versionID="d0252fa9e8ce32db289fcc04af7da083">
  <xsd:schema xmlns:xsd="http://www.w3.org/2001/XMLSchema" xmlns:xs="http://www.w3.org/2001/XMLSchema" xmlns:p="http://schemas.microsoft.com/office/2006/metadata/properties" xmlns:ns2="a497d734-4801-40da-89ef-017d807fa2a8" xmlns:ns3="32bdb438-7d0f-4225-b594-ab5c81528ae2" targetNamespace="http://schemas.microsoft.com/office/2006/metadata/properties" ma:root="true" ma:fieldsID="b27134fb40eced3b7ae49a2ced564ec8" ns2:_="" ns3:_="">
    <xsd:import namespace="a497d734-4801-40da-89ef-017d807fa2a8"/>
    <xsd:import namespace="32bdb438-7d0f-4225-b594-ab5c81528ae2"/>
    <xsd:element name="properties">
      <xsd:complexType>
        <xsd:sequence>
          <xsd:element name="documentManagement">
            <xsd:complexType>
              <xsd:all>
                <xsd:element ref="ns2:SharedWithDetails" minOccurs="0"/>
                <xsd:element ref="ns2:SharedWithUsers" minOccurs="0"/>
                <xsd:element ref="ns3:MediaServiceMetadata" minOccurs="0"/>
                <xsd:element ref="ns3:MediaServiceFastMetadata" minOccurs="0"/>
                <xsd:element ref="ns3:MediaServiceAutoTags" minOccurs="0"/>
                <xsd:element ref="ns3:MediaServiceDateTaken" minOccurs="0"/>
                <xsd:element ref="ns3:MediaServiceOCR" minOccurs="0"/>
                <xsd:element ref="ns3:MediaServiceEventHashCode" minOccurs="0"/>
                <xsd:element ref="ns3:MediaServiceGenerationTime" minOccurs="0"/>
                <xsd:element ref="ns3:MediaServiceLocation" minOccurs="0"/>
                <xsd:element ref="ns3:MediaServiceAutoKeyPoints" minOccurs="0"/>
                <xsd:element ref="ns3:MediaServiceKeyPoints" minOccurs="0"/>
                <xsd:element ref="ns3:MediaLengthInSeconds" minOccurs="0"/>
                <xsd:element ref="ns3:lcf76f155ced4ddcb4097134ff3c332f" minOccurs="0"/>
                <xsd:element ref="ns2:TaxCatchAll" minOccurs="0"/>
                <xsd:element ref="ns3:MediaServiceObjectDetectorVersions" minOccurs="0"/>
                <xsd:element ref="ns3:MediaServiceSearchProperties" minOccurs="0"/>
                <xsd:element ref="ns2:TaxKeywordTaxHTField" minOccurs="0"/>
                <xsd:element ref="ns3: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497d734-4801-40da-89ef-017d807fa2a8" elementFormDefault="qualified">
    <xsd:import namespace="http://schemas.microsoft.com/office/2006/documentManagement/types"/>
    <xsd:import namespace="http://schemas.microsoft.com/office/infopath/2007/PartnerControls"/>
    <xsd:element name="SharedWithDetails" ma:index="8" nillable="true" ma:displayName="Shared With Details" ma:description="" ma:internalName="SharedWithDetails" ma:readOnly="true">
      <xsd:simpleType>
        <xsd:restriction base="dms:Note">
          <xsd:maxLength value="255"/>
        </xsd:restriction>
      </xsd:simpleType>
    </xsd:element>
    <xsd:element name="SharedWithUsers" ma:index="9"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TaxCatchAll" ma:index="23" nillable="true" ma:displayName="Taxonomy Catch All Column" ma:hidden="true" ma:list="{55cb9c4c-58e5-407b-9a70-3c8acc7b7146}" ma:internalName="TaxCatchAll" ma:showField="CatchAllData" ma:web="a497d734-4801-40da-89ef-017d807fa2a8">
      <xsd:complexType>
        <xsd:complexContent>
          <xsd:extension base="dms:MultiChoiceLookup">
            <xsd:sequence>
              <xsd:element name="Value" type="dms:Lookup" maxOccurs="unbounded" minOccurs="0" nillable="true"/>
            </xsd:sequence>
          </xsd:extension>
        </xsd:complexContent>
      </xsd:complexType>
    </xsd:element>
    <xsd:element name="TaxKeywordTaxHTField" ma:index="27" nillable="true" ma:taxonomy="true" ma:internalName="TaxKeywordTaxHTField" ma:taxonomyFieldName="TaxKeyword" ma:displayName="Enterprise Keywords" ma:fieldId="{23f27201-bee3-471e-b2e7-b64fd8b7ca38}" ma:taxonomyMulti="true" ma:sspId="00000000-0000-0000-0000-000000000000" ma:termSetId="00000000-0000-0000-0000-000000000000" ma:anchorId="00000000-0000-0000-0000-000000000000" ma:open="true" ma:isKeyword="tru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32bdb438-7d0f-4225-b594-ab5c81528ae2" elementFormDefault="qualified">
    <xsd:import namespace="http://schemas.microsoft.com/office/2006/documentManagement/types"/>
    <xsd:import namespace="http://schemas.microsoft.com/office/infopath/2007/PartnerControls"/>
    <xsd:element name="MediaServiceMetadata" ma:index="10" nillable="true" ma:displayName="MediaServiceMetadata" ma:description="" ma:hidden="true" ma:internalName="MediaServiceMetadata" ma:readOnly="true">
      <xsd:simpleType>
        <xsd:restriction base="dms:Note"/>
      </xsd:simpleType>
    </xsd:element>
    <xsd:element name="MediaServiceFastMetadata" ma:index="11" nillable="true" ma:displayName="MediaServiceFastMetadata" ma:description="" ma:hidden="true" ma:internalName="MediaServiceFastMetadata" ma:readOnly="true">
      <xsd:simpleType>
        <xsd:restriction base="dms:Note"/>
      </xsd:simpleType>
    </xsd:element>
    <xsd:element name="MediaServiceAutoTags" ma:index="12" nillable="true" ma:displayName="MediaServiceAutoTags" ma:description="" ma:internalName="MediaServiceAutoTags" ma:readOnly="true">
      <xsd:simpleType>
        <xsd:restriction base="dms:Text"/>
      </xsd:simpleType>
    </xsd:element>
    <xsd:element name="MediaServiceDateTaken" ma:index="13" nillable="true" ma:displayName="MediaServiceDateTaken" ma:description="" ma:hidden="true" ma:internalName="MediaServiceDateTaken" ma:readOnly="true">
      <xsd:simpleType>
        <xsd:restriction base="dms:Text"/>
      </xsd:simpleType>
    </xsd:element>
    <xsd:element name="MediaServiceOCR" ma:index="14" nillable="true" ma:displayName="MediaServiceOCR" ma:internalName="MediaServiceOCR" ma:readOnly="true">
      <xsd:simpleType>
        <xsd:restriction base="dms:Note">
          <xsd:maxLength value="255"/>
        </xsd:restriction>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Location" ma:index="17" nillable="true" ma:displayName="Location" ma:internalName="MediaServiceLocation"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9123ccff-1beb-4bf6-8606-78be1bc4f3ec"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element name="MediaServiceBillingMetadata" ma:index="28" nillable="true" ma:displayName="MediaServiceBillingMetadata" ma:hidden="true" ma:internalName="MediaServiceBillingMetadata"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TaxCatchAll xmlns="a497d734-4801-40da-89ef-017d807fa2a8" xsi:nil="true"/>
    <lcf76f155ced4ddcb4097134ff3c332f xmlns="32bdb438-7d0f-4225-b594-ab5c81528ae2">
      <Terms xmlns="http://schemas.microsoft.com/office/infopath/2007/PartnerControls"/>
    </lcf76f155ced4ddcb4097134ff3c332f>
    <TaxKeywordTaxHTField xmlns="a497d734-4801-40da-89ef-017d807fa2a8">
      <Terms xmlns="http://schemas.microsoft.com/office/infopath/2007/PartnerControls"/>
    </TaxKeywordTaxHTField>
  </documentManagement>
</p:properti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8FE54CD-AB5C-45BC-80B3-A9D483DB00C5}"/>
</file>

<file path=customXml/itemProps2.xml><?xml version="1.0" encoding="utf-8"?>
<ds:datastoreItem xmlns:ds="http://schemas.openxmlformats.org/officeDocument/2006/customXml" ds:itemID="{7868F74E-BF6E-45DD-A1D4-5857FA393A49}">
  <ds:schemaRefs>
    <ds:schemaRef ds:uri="http://schemas.microsoft.com/sharepoint/v3/contenttype/forms"/>
  </ds:schemaRefs>
</ds:datastoreItem>
</file>

<file path=customXml/itemProps3.xml><?xml version="1.0" encoding="utf-8"?>
<ds:datastoreItem xmlns:ds="http://schemas.openxmlformats.org/officeDocument/2006/customXml" ds:itemID="{AAFFFB37-6831-4E57-AC4E-741BA5360103}">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9A3FE118-B8B4-450E-9BCC-A81F23E2606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19</TotalTime>
  <Pages>8</Pages>
  <Words>5523</Words>
  <Characters>31485</Characters>
  <Application>Microsoft Office Word</Application>
  <DocSecurity>0</DocSecurity>
  <Lines>262</Lines>
  <Paragraphs>73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36935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Dell</dc:creator>
  <cp:lastModifiedBy>Dell</cp:lastModifiedBy>
  <cp:revision>7</cp:revision>
  <dcterms:created xsi:type="dcterms:W3CDTF">2023-05-13T07:02:00Z</dcterms:created>
  <dcterms:modified xsi:type="dcterms:W3CDTF">2025-04-07T13:36:00Z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0x0101009A7EB3696C166B4E98EC7230A836A500</vt:lpwstr>
  </property>
</Properties>
</file>